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4500" cy="6096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450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  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23 грудня  2021 року                м. Сквира                                    №04-17-VІІІ </w:t>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бюджет Сквирської міської </w:t>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територіальної громади на 2022 рік</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10561000000 (код бюджету)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D">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Керуючись статтями 23, 72, 76, 77 Бюджетного Кодексу України, Законом України «Про Державний бюджет України на 2022 рік», пунктом 23 частини 1 статті 26,  підпунктами 6</w:t>
      </w:r>
      <w:r w:rsidDel="00000000" w:rsidR="00000000" w:rsidRPr="00000000">
        <w:rPr>
          <w:rFonts w:ascii="Times New Roman" w:cs="Times New Roman" w:eastAsia="Times New Roman" w:hAnsi="Times New Roman"/>
          <w:color w:val="000000"/>
          <w:sz w:val="17"/>
          <w:szCs w:val="17"/>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і 6</w:t>
      </w:r>
      <w:r w:rsidDel="00000000" w:rsidR="00000000" w:rsidRPr="00000000">
        <w:rPr>
          <w:rFonts w:ascii="Times New Roman" w:cs="Times New Roman" w:eastAsia="Times New Roman" w:hAnsi="Times New Roman"/>
          <w:color w:val="000000"/>
          <w:sz w:val="17"/>
          <w:szCs w:val="17"/>
          <w:vertAlign w:val="superscript"/>
          <w:rtl w:val="0"/>
        </w:rPr>
        <w:t xml:space="preserve">2</w:t>
      </w:r>
      <w:r w:rsidDel="00000000" w:rsidR="00000000" w:rsidRPr="00000000">
        <w:rPr>
          <w:rFonts w:ascii="Times New Roman" w:cs="Times New Roman" w:eastAsia="Times New Roman" w:hAnsi="Times New Roman"/>
          <w:color w:val="000000"/>
          <w:sz w:val="28"/>
          <w:szCs w:val="28"/>
          <w:rtl w:val="0"/>
        </w:rPr>
        <w:t xml:space="preserve"> розділу V Закону України «Про місцеве самоврядування в Україні» зі змінами, Стратегією розвитку Сквирської міської територіальної громади на 2021-2027, затверджену рішенням Сквирської міської ради від 30 вересня 2021 року №1-12-VІІІ, проектом рішення Сквирської міської ради  від  23 грудня 2021 року № 02-17-VІІІ «Про Програму соціально-економічного розвитку Сквирської міської територіальної громади на 2022 рік»,</w:t>
      </w:r>
      <w:r w:rsidDel="00000000" w:rsidR="00000000" w:rsidRPr="00000000">
        <w:rPr>
          <w:rFonts w:ascii="Times New Roman" w:cs="Times New Roman" w:eastAsia="Times New Roman" w:hAnsi="Times New Roman"/>
          <w:b w:val="1"/>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 рішенням виконавчого комітету від 15 червня 2021 року №2/15  «Про затвердження Бюджетного регламенту проходження бюджетного процесу бюджетом Сквирської міської територіальної громади», рішенням виконавчого комітету Сквирської міської ради від </w:t>
      </w:r>
      <w:r w:rsidDel="00000000" w:rsidR="00000000" w:rsidRPr="00000000">
        <w:rPr>
          <w:rFonts w:ascii="Times New Roman" w:cs="Times New Roman" w:eastAsia="Times New Roman" w:hAnsi="Times New Roman"/>
          <w:sz w:val="28"/>
          <w:szCs w:val="28"/>
          <w:rtl w:val="0"/>
        </w:rPr>
        <w:t xml:space="preserve">21</w:t>
      </w:r>
      <w:r w:rsidDel="00000000" w:rsidR="00000000" w:rsidRPr="00000000">
        <w:rPr>
          <w:rFonts w:ascii="Times New Roman" w:cs="Times New Roman" w:eastAsia="Times New Roman" w:hAnsi="Times New Roman"/>
          <w:color w:val="000000"/>
          <w:sz w:val="28"/>
          <w:szCs w:val="28"/>
          <w:rtl w:val="0"/>
        </w:rPr>
        <w:t xml:space="preserve"> грудня 2021 року № __ «Про схвалення проєкту бюджету Сквирської міської територіальної громади на 2022 рік», враховуючи пропозиції постійних депутатських комісії, Сквирська </w:t>
      </w:r>
      <w:r w:rsidDel="00000000" w:rsidR="00000000" w:rsidRPr="00000000">
        <w:rPr>
          <w:rFonts w:ascii="Times New Roman" w:cs="Times New Roman" w:eastAsia="Times New Roman" w:hAnsi="Times New Roman"/>
          <w:sz w:val="28"/>
          <w:szCs w:val="28"/>
          <w:rtl w:val="0"/>
        </w:rPr>
        <w:t xml:space="preserve">міська рада VIII скликання:</w:t>
      </w:r>
    </w:p>
    <w:p w:rsidR="00000000" w:rsidDel="00000000" w:rsidP="00000000" w:rsidRDefault="00000000" w:rsidRPr="00000000" w14:paraId="0000000E">
      <w:pPr>
        <w:ind w:firstLine="56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Визначити на 2022 рік:</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доходи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міського бюджету у сумі 293 049 823,00 гривень, у тому числі доходи загального фонду міського бюджету 291 399 423,00 гривень та доходи спеціального фонду міського бюджету 1 650 400,00 гривень згідно з додатком 1 до цього рішення;</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видатки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міського бюджету у сумі 293 049 823,00 гривень, у тому числі видатки  загального фонду міського бюджету 286 199 423,00 гривень та видатки спеціального фонду міського бюджету 6 850 400,00 гривень згідно з додатком 3 до цього рішення;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повернення кредитів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загального фонду міського бюджету у сумі 0 гривень згідно з додатком № 4 до цього рішення;</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загальним фондом міського бюджету у сумі </w:t>
        <w:br w:type="textWrapping"/>
        <w:t xml:space="preserve">5 200 000,00 гривень, напрямком використання якого визначити передачу коштів із загального фонду бюджету до бюджету розвитку (спеціального фонду) згідно з додатком 2 до цього рішення;</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спеціальним фондом міського бюджету у сумі </w:t>
        <w:br w:type="textWrapping"/>
        <w:t xml:space="preserve">5 200 000,00 гривень, джерелом покриття якого визначити надходження коштів із загального фонду бюджету до бюджету розвитку (спеціального фонду) згідно з додатком 2 до цього рішення;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оборотний залишок бюджетних коштів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міського бюджету у розмірі 100 000,00 гривень, що становить 0,03 відсотка видатків загального фонду міського бюджету, визначених цим пунктом;</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резервний фонд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міського бюджету у розмірі 300 000,00 гривень, що становить 0,1 відсотка видатків загального фонду міського бюджету, визначених цим пунктом;</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655"/>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 Затвердити бюджетні призначення головним розпорядникам коштів міського бюджету на 2022 рік у розрізі відповідальних виконавців за бюджетними програмами згідно з додатками 3, 4 до цього рішення.</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на 2022 рік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міжбюджетні трансферти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згідно з додатком 5 до цього рішення.</w:t>
      </w:r>
    </w:p>
    <w:p w:rsidR="00000000" w:rsidDel="00000000" w:rsidP="00000000" w:rsidRDefault="00000000" w:rsidRPr="00000000" w14:paraId="00000019">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Відповідно до статті 23 Бюджетного кодексу України надати право міському голові:</w:t>
      </w:r>
    </w:p>
    <w:p w:rsidR="00000000" w:rsidDel="00000000" w:rsidP="00000000" w:rsidRDefault="00000000" w:rsidRPr="00000000" w14:paraId="0000001A">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розподіляти та перерозподіляти субвенції з державного бюджету, обласного бюджету за рахунок відповідної субвенції з державного бюджету; </w:t>
      </w:r>
    </w:p>
    <w:p w:rsidR="00000000" w:rsidDel="00000000" w:rsidP="00000000" w:rsidRDefault="00000000" w:rsidRPr="00000000" w14:paraId="0000001B">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за погодженням з постійною комісією Сквирської міської ради з питань планування бюджету та фінансів, соціально-економічного розвитку розподіляти та перерозподіляти додаткові дотації з державного бюджету та обласного бюджету за рахунок відповідної додаткової дотації з державного бюджету.</w:t>
      </w:r>
    </w:p>
    <w:p w:rsidR="00000000" w:rsidDel="00000000" w:rsidP="00000000" w:rsidRDefault="00000000" w:rsidRPr="00000000" w14:paraId="0000001C">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Затвердити на 2022 рік обсяги капітальних вкладень у розрізі інвестиційних проектів згідно з додатком 6 до цього рішення.</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Затвердити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розподіл витрат міського бюджету на реалізацію місцевих/регіональних програм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сумі 32 735 800,00 гривень згідно з додатком 7 до цього рішення.</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Визначити у 2022 році граничний обсяг надання місцевих гарантій у сумі 0,00 гривень;</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31 грудня 2022 року граничний обсяг місцевого боргу у сумі 0,00 гривень та граничний обсяг гарантованого місцевою радою у сумі 0,00 гривень.</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Установити, що у загальному фонді міського бюджету на 2022 рік: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Установити, що у загальному фонді бюджету Сквирської міської  територіальної громади на 2022 рік: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до доходів загального фонду бюджету Сквирської міської територіальної громади належать доходи, визначені статтею 64 Бюджетного кодексу України та трансферти, визначені статтею 103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Бюджетного кодексу України (крім субвенцій, визначених статтею 69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частиною 1 статті 71 Бюджетного кодексу України), а також інші надходження відповідно до Закону України «Про Державний бюджет України на 2022 рік»;</w:t>
      </w:r>
    </w:p>
    <w:p w:rsidR="00000000" w:rsidDel="00000000" w:rsidP="00000000" w:rsidRDefault="00000000" w:rsidRPr="00000000" w14:paraId="00000023">
      <w:pPr>
        <w:spacing w:after="0" w:before="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джерелами формування у частині фінансування є надходження, визначені частиною 1 статті 15 Бюджетного кодексу України;</w:t>
      </w:r>
    </w:p>
    <w:p w:rsidR="00000000" w:rsidDel="00000000" w:rsidP="00000000" w:rsidRDefault="00000000" w:rsidRPr="00000000" w14:paraId="00000024">
      <w:pPr>
        <w:spacing w:after="0" w:before="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джерелами формування у частині кредитування є:</w:t>
      </w:r>
    </w:p>
    <w:p w:rsidR="00000000" w:rsidDel="00000000" w:rsidP="00000000" w:rsidRDefault="00000000" w:rsidRPr="00000000" w14:paraId="00000025">
      <w:pPr>
        <w:spacing w:after="0" w:before="0" w:line="240" w:lineRule="auto"/>
        <w:ind w:left="215" w:firstLine="49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надходження, визначені статтею 64 Бюджетного кодексу України;</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Установити, що джерелами формування спеціального фонду бюджету Сквирської міської територіальної громади на 2022 рік:</w:t>
      </w:r>
    </w:p>
    <w:p w:rsidR="00000000" w:rsidDel="00000000" w:rsidP="00000000" w:rsidRDefault="00000000" w:rsidRPr="00000000" w14:paraId="00000027">
      <w:pPr>
        <w:spacing w:after="0" w:before="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у частині доходів є надходження, визначені статтею </w:t>
      </w:r>
      <w:r w:rsidDel="00000000" w:rsidR="00000000" w:rsidRPr="00000000">
        <w:rPr>
          <w:rFonts w:ascii="Times New Roman" w:cs="Times New Roman" w:eastAsia="Times New Roman" w:hAnsi="Times New Roman"/>
          <w:sz w:val="28"/>
          <w:szCs w:val="28"/>
          <w:highlight w:val="white"/>
          <w:rtl w:val="0"/>
        </w:rPr>
        <w:t xml:space="preserve">69</w:t>
      </w:r>
      <w:r w:rsidDel="00000000" w:rsidR="00000000" w:rsidRPr="00000000">
        <w:rPr>
          <w:rFonts w:ascii="Times New Roman" w:cs="Times New Roman" w:eastAsia="Times New Roman" w:hAnsi="Times New Roman"/>
          <w:sz w:val="28"/>
          <w:szCs w:val="28"/>
          <w:highlight w:val="white"/>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та 71</w:t>
      </w:r>
      <w:r w:rsidDel="00000000" w:rsidR="00000000" w:rsidRPr="00000000">
        <w:rPr>
          <w:rFonts w:ascii="Times New Roman" w:cs="Times New Roman" w:eastAsia="Times New Roman" w:hAnsi="Times New Roman"/>
          <w:sz w:val="28"/>
          <w:szCs w:val="28"/>
          <w:highlight w:val="white"/>
          <w:vertAlign w:val="superscript"/>
          <w:rtl w:val="0"/>
        </w:rPr>
        <w:t xml:space="preserve"> </w:t>
      </w:r>
      <w:r w:rsidDel="00000000" w:rsidR="00000000" w:rsidRPr="00000000">
        <w:rPr>
          <w:rFonts w:ascii="Times New Roman" w:cs="Times New Roman" w:eastAsia="Times New Roman" w:hAnsi="Times New Roman"/>
          <w:sz w:val="28"/>
          <w:szCs w:val="28"/>
          <w:rtl w:val="0"/>
        </w:rPr>
        <w:t xml:space="preserve">Бюджетного кодексу України, а також інші надходження відповідно до Закону України «Про Державний бюджет України на 2022 рік»;</w:t>
      </w:r>
    </w:p>
    <w:p w:rsidR="00000000" w:rsidDel="00000000" w:rsidP="00000000" w:rsidRDefault="00000000" w:rsidRPr="00000000" w14:paraId="00000028">
      <w:pPr>
        <w:spacing w:after="0" w:before="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у частині фінансування є надходження, визначені пунктом 10 частини 1 статті 71 Бюджетного кодексу України, а також залишки коштів спеціального фонду бюджету Сквирської міської територіальної громади, крім власних надходжень бюджетних установ;</w:t>
      </w:r>
    </w:p>
    <w:p w:rsidR="00000000" w:rsidDel="00000000" w:rsidP="00000000" w:rsidRDefault="00000000" w:rsidRPr="00000000" w14:paraId="00000029">
      <w:pPr>
        <w:spacing w:after="0" w:before="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у частині кредитування є:</w:t>
      </w:r>
    </w:p>
    <w:p w:rsidR="00000000" w:rsidDel="00000000" w:rsidP="00000000" w:rsidRDefault="00000000" w:rsidRPr="00000000" w14:paraId="0000002A">
      <w:pPr>
        <w:spacing w:after="0" w:before="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надходження, визначені статтею 69</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Бюджетного кодексу України;</w:t>
      </w:r>
    </w:p>
    <w:p w:rsidR="00000000" w:rsidDel="00000000" w:rsidP="00000000" w:rsidRDefault="00000000" w:rsidRPr="00000000" w14:paraId="0000002B">
      <w:pPr>
        <w:spacing w:after="0" w:before="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Установити, що у 2022 році кошти, отримані до спеціального фонду бюджету Сквирської міської територіальної громади згідно зі статтею 69</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Бюджетного кодексу України, спрямовуються на реалізацію заходів, визначених статтями 89, 91 Бюджетного кодексу України, а кошти, отримані до спеціального фонду згідно з підпунктами 2, 3 пункту 7 цього рішення, спрямовуються відповідно на:</w:t>
      </w:r>
    </w:p>
    <w:p w:rsidR="00000000" w:rsidDel="00000000" w:rsidP="00000000" w:rsidRDefault="00000000" w:rsidRPr="00000000" w14:paraId="0000002C">
      <w:pPr>
        <w:spacing w:after="0" w:before="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витрати бюджету розвитку, визначені частиною 2 статті 71 Бюджетного кодексу України (за рахунок джерел, визначених підпунктом 2 пункту 7 цього рішення);</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Визначити на 2021 рік відповідно до статті 55 Бюджетного кодексу України захищеними видатками бюджету Сквирської міської територіальної громади видатки загального фонду на: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оплату праці працівників бюджетних установ;</w:t>
      </w:r>
      <w:bookmarkStart w:colFirst="0" w:colLast="0" w:name="bookmark=id.gjdgxs" w:id="0"/>
      <w:bookmarkEnd w:id="0"/>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нарахування на заробітну плату;</w:t>
      </w:r>
    </w:p>
    <w:bookmarkStart w:colFirst="0" w:colLast="0" w:name="bookmark=id.30j0zll" w:id="1"/>
    <w:bookmarkEnd w:id="1"/>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медикаментів та перев'язувальних матеріалів;</w:t>
      </w:r>
    </w:p>
    <w:bookmarkStart w:colFirst="0" w:colLast="0" w:name="bookmark=id.1fob9te" w:id="2"/>
    <w:bookmarkEnd w:id="2"/>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продуктами харчування;</w:t>
      </w:r>
    </w:p>
    <w:bookmarkStart w:colFirst="0" w:colLast="0" w:name="bookmark=id.3znysh7" w:id="3"/>
    <w:bookmarkEnd w:id="3"/>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оплату комунальних послуг та енергоносіїв;</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соціальне забезпечення</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поточні трансферти місцевим бюджетам;</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поточні трансферти населенню;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обслуговування місцевого боргу;</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оплату енергосервісу.</w:t>
      </w:r>
    </w:p>
    <w:bookmarkStart w:colFirst="0" w:colLast="0" w:name="bookmark=id.2et92p0" w:id="4"/>
    <w:bookmarkEnd w:id="4"/>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осіб з інвалідністю технічними та іншими засобами реабілітації, виробами медичного призначення для індивідуального користування;</w:t>
      </w:r>
    </w:p>
    <w:bookmarkStart w:colFirst="0" w:colLast="0" w:name="bookmark=id.tyjcwt" w:id="5"/>
    <w:bookmarkEnd w:id="5"/>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оплату послуг з охорони державних (комунальних) закладів культури;</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частини восьмої статті 16 Бюджетного кодексу України надати право Фінансовому управлінню Сквирської міської ради в межах поточного бюджетного періоду здійснювати на конкурсних засадах розміщення тимчасово вільних коштів міського бюджету на депозитних рахунках з подальшим поверненням таких коштів до кінця поточного бюджетного періоду згідно з Порядком, визначеним Кабінетом Міністрів України.</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Відповідно до статей 43, 73 Бюджетного кодексу України надати право Сквирській міській раді в особі Фінансового управління Сквирської міської ради отримувати у порядку, визначеному Кабінетом Міністрів України, позики на покриття тимчасових касових розривів міського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000000" w:rsidDel="00000000" w:rsidP="00000000" w:rsidRDefault="00000000" w:rsidRPr="00000000" w14:paraId="0000003C">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У процесі виконання бюджету Сквирської міської територіальної громади надати право Фінансовому управлінню Сквирської міської ради:</w:t>
      </w:r>
    </w:p>
    <w:p w:rsidR="00000000" w:rsidDel="00000000" w:rsidP="00000000" w:rsidRDefault="00000000" w:rsidRPr="00000000" w14:paraId="0000003D">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 межах загального обсягу бюджетних призначень окремо за бюджетною програмою за загальним та спеціальним фондами міського бюджету за обґрунтованим поданням головного розпорядника бюджетних коштів здійснювати перерозподіл бюджетних асигнувань, затверджених у розписі міського бюджету та кошторисах, в розрізі економічної класифікації видатків бюджету;</w:t>
      </w:r>
    </w:p>
    <w:p w:rsidR="00000000" w:rsidDel="00000000" w:rsidP="00000000" w:rsidRDefault="00000000" w:rsidRPr="00000000" w14:paraId="0000003E">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погоджувати подання на повернення помилково або надміру зарахованих до міського бюджету платежів з відповідних бюджетних рахунків для зарахування надходжень, відкритих в органах Казначейства;</w:t>
      </w:r>
    </w:p>
    <w:p w:rsidR="00000000" w:rsidDel="00000000" w:rsidP="00000000" w:rsidRDefault="00000000" w:rsidRPr="00000000" w14:paraId="0000003F">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Головним розпорядникам коштів бюджету Сквирської міської територіальної громади забезпечити:</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затвердження паспортів бюджетних програм протягом 45 днів з дня набрання чинності цим рішенням;</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здійснення контролю за своєчасним поверненням у повному обсязі до бюджету коштів, наданих за операціями з кредитування бюджету;</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доступність інформації про бюджет відповідно до законодавства, а саме:</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2022 року;</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оприлюднення паспортів бюджетних програм у триденний строк з дня затвердження таких документів;</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у встановленому порядку розрахунки за довгостроковими зобов‘язаннями за енергосервісом;</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взяття бюджетних зобов’язань та здійснення витрат бюджету з урахуванням вимог чинного бюджетного законодавства.</w:t>
      </w:r>
    </w:p>
    <w:p w:rsidR="00000000" w:rsidDel="00000000" w:rsidP="00000000" w:rsidRDefault="00000000" w:rsidRPr="00000000" w14:paraId="00000049">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 Відповідно до статті 23 Бюджетного кодексу України надати право міському голові за погодженням постійною комісією Сквирської міської ради з питань планування бюджету та фінансів, соціально-економічного розвитку перерозподіляти видатки загального спеціального фонду, визначені головним розпорядникам коштів міського бюджету цим рішенням, без зміни загального обсягу бюджетних призначень головного розпорядника коштів міського бюджету, в тому числі у частині перерозподілу:</w:t>
      </w:r>
    </w:p>
    <w:p w:rsidR="00000000" w:rsidDel="00000000" w:rsidP="00000000" w:rsidRDefault="00000000" w:rsidRPr="00000000" w14:paraId="0000004A">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видатків між бюджетними програмами, в тому числі між витратами загального фонду та бюджету розвитку спеціального фонду міського бюджету;</w:t>
      </w:r>
    </w:p>
    <w:p w:rsidR="00000000" w:rsidDel="00000000" w:rsidP="00000000" w:rsidRDefault="00000000" w:rsidRPr="00000000" w14:paraId="0000004B">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видатків у межах однієї бюджетної програми, в тому числі між витратами загального фонду та бюджету розвитку спеціального фонду міського бюджету та за економічною класифікацією видатків, з урахуванням обмежень, визначених частиною 11 статті 23 Бюджетного кодексу України;</w:t>
      </w:r>
    </w:p>
    <w:p w:rsidR="00000000" w:rsidDel="00000000" w:rsidP="00000000" w:rsidRDefault="00000000" w:rsidRPr="00000000" w14:paraId="0000004C">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коштів на реалізацію місцевих програм, що фінансуються з міського бюджету;</w:t>
      </w:r>
    </w:p>
    <w:p w:rsidR="00000000" w:rsidDel="00000000" w:rsidP="00000000" w:rsidRDefault="00000000" w:rsidRPr="00000000" w14:paraId="0000004D">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об’єктів, видатки на які проводяться за рахунок коштів бюджету розвитку спеціального фонду міського бюджету.</w:t>
      </w:r>
    </w:p>
    <w:p w:rsidR="00000000" w:rsidDel="00000000" w:rsidP="00000000" w:rsidRDefault="00000000" w:rsidRPr="00000000" w14:paraId="0000004E">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 Установити, що у разі зміни назв структурних підрозділів міської ради, повноваження головних розпорядників коштів міського бюджету, визначених цим рішенням, передаються структурним підрозділам міської ради, які є їх правонаступниками.</w:t>
      </w:r>
    </w:p>
    <w:p w:rsidR="00000000" w:rsidDel="00000000" w:rsidP="00000000" w:rsidRDefault="00000000" w:rsidRPr="00000000" w14:paraId="0000004F">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Фінансовому управлінню Сквирської міської ради, органу казначейства, структурним підрозділам міської ради після змін назв структурних підрозділів міської ради забезпечити зміни назв головних розпорядників коштів міського бюджету у документах, що використовуються у бюджетному процесі.</w:t>
      </w:r>
    </w:p>
    <w:p w:rsidR="00000000" w:rsidDel="00000000" w:rsidP="00000000" w:rsidRDefault="00000000" w:rsidRPr="00000000" w14:paraId="00000050">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Установити, що передача бюджетних призначень від головного розпорядників коштів міського бюджету новоствореним структурним підрозділам міської ради у 2022 році здійснюється відповідно до вимог частини 6 статті 23 Бюджетного кодексу України.</w:t>
      </w:r>
    </w:p>
    <w:p w:rsidR="00000000" w:rsidDel="00000000" w:rsidP="00000000" w:rsidRDefault="00000000" w:rsidRPr="00000000" w14:paraId="00000051">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 Фінансовому управлінню міської ради у процесі виконання міського бюджету за обґрунтованим поданням головного розпорядника бюджетних коштів здійснювати перерозподіл бюджетних асигнувань, затверджених у розписі бюджету та кошторисі, в розрізі економічної класифікації видатків бюджету у межах загального обсягу бюджетних призначень за бюджетної програмою окремо за загальним та спеціальним фондами бюджету відповідно до частини сьомої статті 23 Бюджетного кодексу України.</w:t>
      </w:r>
    </w:p>
    <w:p w:rsidR="00000000" w:rsidDel="00000000" w:rsidP="00000000" w:rsidRDefault="00000000" w:rsidRPr="00000000" w14:paraId="00000052">
      <w:pPr>
        <w:spacing w:after="0" w:before="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 Фінансовому управлінню міської ради у разі внесення змін до чинних нормативно-правових документів Міністерства фінансів України щодо класифікації видатків і кредитування місцевих бюджетів забезпечити врахування відповідних змін при складанні і виконанні розпису бюджету на 2022 рік та врахувати зміни у класифікації видатків і кредитування місцевих бюджетів при поданні пропозицій щодо внесення змін до цього рішення.</w:t>
      </w:r>
    </w:p>
    <w:p w:rsidR="00000000" w:rsidDel="00000000" w:rsidP="00000000" w:rsidRDefault="00000000" w:rsidRPr="00000000" w14:paraId="00000053">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21. Установити, що з 01 січня 2022 року з бюджету Сквирської міської територіальної громади здійснюватимуться видатки на забезпечення діяльності бюджетних установ, закладів, визначених у додатку 3 до цього рішення, відповідно до розмежування видатків між бюджетами, визначеного Бюджетним кодексом України.</w:t>
      </w:r>
    </w:p>
    <w:p w:rsidR="00000000" w:rsidDel="00000000" w:rsidP="00000000" w:rsidRDefault="00000000" w:rsidRPr="00000000" w14:paraId="00000054">
      <w:pPr>
        <w:spacing w:after="0" w:before="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22. Це рішення набирає чинності з 01 січня 2022 року.</w:t>
      </w:r>
    </w:p>
    <w:p w:rsidR="00000000" w:rsidDel="00000000" w:rsidP="00000000" w:rsidRDefault="00000000" w:rsidRPr="00000000" w14:paraId="00000055">
      <w:pPr>
        <w:spacing w:after="0" w:before="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Додатки 1, 2, 3, 4, 5, 6, 7 до цього рішення та пояснювальна записка є його невід’ємною частиною. </w:t>
      </w:r>
    </w:p>
    <w:p w:rsidR="00000000" w:rsidDel="00000000" w:rsidP="00000000" w:rsidRDefault="00000000" w:rsidRPr="00000000" w14:paraId="00000056">
      <w:pPr>
        <w:spacing w:after="0" w:before="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 Відповідно до статті 28 Бюджетного кодексу України забезпечити оприлюднення цього рішення на пізніше ніж через десять днів з дня його прийняття.</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Інші положення, що регламентують процес виконання міського бюджету:</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Головним розпорядникам коштів міського бюджету:</w:t>
      </w:r>
    </w:p>
    <w:p w:rsidR="00000000" w:rsidDel="00000000" w:rsidP="00000000" w:rsidRDefault="00000000" w:rsidRPr="00000000" w14:paraId="00000059">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тижневий термін забезпечити складання та затвердження кошторисів доходів і видатків бюджетних установ, планів використання бюджетних коштів одержувачів коштів міського бюджету і подати їх територіальному управлінню Державної казначейської служби;</w:t>
      </w:r>
    </w:p>
    <w:p w:rsidR="00000000" w:rsidDel="00000000" w:rsidP="00000000" w:rsidRDefault="00000000" w:rsidRPr="00000000" w14:paraId="0000005A">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дотримуватися економії споживання енергоносіїв у натуральних показниках відповідно до затверджених ліміти споживання по кожній бюджетній установі.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забезпечити утримання чисельності працівників та здійснення фактичних видатків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у кошторисах або планах використання бюджетних коштів.</w:t>
      </w:r>
    </w:p>
    <w:p w:rsidR="00000000" w:rsidDel="00000000" w:rsidP="00000000" w:rsidRDefault="00000000" w:rsidRPr="00000000" w14:paraId="0000005C">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Якщо після прийняття рішення про міський бюджет повноваження щодо виконання функцій або надання послуг, на яке затверджене бюджетне призначення, передається відповідно до законодавства від одного головного розпорядника коштів міського бюджету до іншого, дія бюджетного призначення не припиняється і застосовується для виконання тих самих функцій чи послуг іншому головному розпоряднику бюджетних коштів, якому це доручено за процедурою, визначеною частиною 6 статті 23 Бюджетного кодексу України.</w:t>
      </w:r>
    </w:p>
    <w:p w:rsidR="00000000" w:rsidDel="00000000" w:rsidP="00000000" w:rsidRDefault="00000000" w:rsidRPr="00000000" w14:paraId="0000005D">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і голову Сквирської міської ради Валентину ЛЕВІЦЬКУ.</w:t>
      </w:r>
    </w:p>
    <w:p w:rsidR="00000000" w:rsidDel="00000000" w:rsidP="00000000" w:rsidRDefault="00000000" w:rsidRPr="00000000" w14:paraId="0000005E">
      <w:pPr>
        <w:spacing w:after="0" w:before="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F">
      <w:pPr>
        <w:spacing w:after="0" w:before="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Міський голова                                                         Валентина ЛЕВІЦЬКА</w:t>
      </w:r>
    </w:p>
    <w:p w:rsidR="00000000" w:rsidDel="00000000" w:rsidP="00000000" w:rsidRDefault="00000000" w:rsidRPr="00000000" w14:paraId="00000060">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                                                                  Л. Сергієнко</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                                                                  В.Бачинська</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                                                                 В.Черненко</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 Власюк</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Керуюча справами виконавчого комітету                                                                                               Н.Згардівська</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юридичного забезпечення</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та діловодства                                                                               І. Кваша</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фінансового управління                                                    І.Круківська</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на </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планування бюджету та</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фінансів, соц..-економ. розвитку                                                          М.Чмирь</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2">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3">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spacing w:after="0" w:line="240" w:lineRule="auto"/>
        <w:ind w:firstLine="567"/>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85">
      <w:pPr>
        <w:spacing w:after="0" w:line="240" w:lineRule="auto"/>
        <w:ind w:firstLine="567"/>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86">
      <w:pPr>
        <w:spacing w:after="0" w:line="240" w:lineRule="auto"/>
        <w:ind w:firstLine="567"/>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87">
      <w:pPr>
        <w:spacing w:after="0" w:line="240" w:lineRule="auto"/>
        <w:ind w:firstLine="567"/>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88">
      <w:pPr>
        <w:spacing w:after="0" w:line="240" w:lineRule="auto"/>
        <w:ind w:firstLine="567"/>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16"/>
          <w:szCs w:val="16"/>
        </w:rPr>
      </w:pPr>
      <w:r w:rsidDel="00000000" w:rsidR="00000000" w:rsidRPr="00000000">
        <w:rPr>
          <w:rtl w:val="0"/>
        </w:rPr>
      </w:r>
    </w:p>
    <w:sectPr>
      <w:pgSz w:h="16838" w:w="11906" w:orient="portrait"/>
      <w:pgMar w:bottom="568" w:top="850" w:left="1417"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55D4F"/>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3">
    <w:name w:val="List Paragraph"/>
    <w:basedOn w:val="a"/>
    <w:uiPriority w:val="34"/>
    <w:qFormat w:val="1"/>
    <w:rsid w:val="000626E4"/>
    <w:pPr>
      <w:ind w:left="720"/>
      <w:contextualSpacing w:val="1"/>
    </w:p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5" w:customStyle="1">
    <w:name w:val="Основной текст Знак"/>
    <w:aliases w:val="Знак8 Знак"/>
    <w:basedOn w:val="a0"/>
    <w:link w:val="a6"/>
    <w:semiHidden w:val="1"/>
    <w:locked w:val="1"/>
    <w:rsid w:val="00E56153"/>
    <w:rPr>
      <w:sz w:val="24"/>
      <w:lang w:eastAsia="zh-CN"/>
    </w:rPr>
  </w:style>
  <w:style w:type="paragraph" w:styleId="a6">
    <w:name w:val="Body Text"/>
    <w:aliases w:val="Знак8"/>
    <w:basedOn w:val="a"/>
    <w:link w:val="a5"/>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link w:val="a6"/>
    <w:uiPriority w:val="99"/>
    <w:semiHidden w:val="1"/>
    <w:rsid w:val="00E56153"/>
  </w:style>
  <w:style w:type="character" w:styleId="a7"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8"/>
    <w:semiHidden w:val="1"/>
    <w:locked w:val="1"/>
    <w:rsid w:val="00E56153"/>
    <w:rPr>
      <w:rFonts w:ascii="Antiqua" w:cs="Antiqua" w:hAnsi="Antiqua"/>
      <w:sz w:val="28"/>
      <w:lang w:eastAsia="zh-CN" w:val="hr-HR"/>
    </w:rPr>
  </w:style>
  <w:style w:type="paragraph" w:styleId="a8">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7"/>
    <w:semiHidden w:val="1"/>
    <w:unhideWhenUsed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link w:val="a8"/>
    <w:uiPriority w:val="99"/>
    <w:semiHidden w:val="1"/>
    <w:rsid w:val="00E56153"/>
  </w:style>
  <w:style w:type="paragraph" w:styleId="4"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paragraph" w:styleId="a9">
    <w:name w:val="No Spacing"/>
    <w:uiPriority w:val="99"/>
    <w:qFormat w:val="1"/>
    <w:rsid w:val="001138CA"/>
    <w:pPr>
      <w:spacing w:after="0" w:line="240" w:lineRule="auto"/>
    </w:pPr>
    <w:rPr>
      <w:rFonts w:ascii="Times New Roman" w:cs="Times New Roman" w:eastAsia="Times New Roman" w:hAnsi="Times New Roman"/>
      <w:sz w:val="24"/>
      <w:szCs w:val="24"/>
    </w:rPr>
  </w:style>
  <w:style w:type="paragraph" w:styleId="aa">
    <w:name w:val="Balloon Text"/>
    <w:basedOn w:val="a"/>
    <w:link w:val="ab"/>
    <w:uiPriority w:val="99"/>
    <w:semiHidden w:val="1"/>
    <w:unhideWhenUsed w:val="1"/>
    <w:rsid w:val="001138CA"/>
    <w:pPr>
      <w:spacing w:after="0" w:line="240" w:lineRule="auto"/>
    </w:pPr>
    <w:rPr>
      <w:rFonts w:ascii="Tahoma" w:cs="Tahoma" w:hAnsi="Tahoma"/>
      <w:sz w:val="16"/>
      <w:szCs w:val="16"/>
    </w:rPr>
  </w:style>
  <w:style w:type="character" w:styleId="ab" w:customStyle="1">
    <w:name w:val="Текст выноски Знак"/>
    <w:basedOn w:val="a0"/>
    <w:link w:val="aa"/>
    <w:uiPriority w:val="99"/>
    <w:semiHidden w:val="1"/>
    <w:rsid w:val="001138CA"/>
    <w:rPr>
      <w:rFonts w:ascii="Tahoma" w:cs="Tahoma" w:hAnsi="Tahoma"/>
      <w:sz w:val="16"/>
      <w:szCs w:val="16"/>
    </w:rPr>
  </w:style>
  <w:style w:type="paragraph" w:styleId="110" w:customStyle="1">
    <w:name w:val="Без интервала11"/>
    <w:rsid w:val="006334E4"/>
    <w:pPr>
      <w:spacing w:after="0" w:line="240" w:lineRule="auto"/>
      <w:contextualSpacing w:val="1"/>
    </w:pPr>
    <w:rPr>
      <w:rFonts w:ascii="Times New Roman" w:cs="Times New Roman" w:eastAsia="Times New Roman" w:hAnsi="Times New Roman"/>
      <w:sz w:val="24"/>
      <w:szCs w:val="24"/>
      <w:lang w:eastAsia="en-US"/>
    </w:rPr>
  </w:style>
  <w:style w:type="character" w:styleId="rvts37" w:customStyle="1">
    <w:name w:val="rvts37"/>
    <w:rsid w:val="00F40260"/>
  </w:style>
  <w:style w:type="character" w:styleId="rvts9" w:customStyle="1">
    <w:name w:val="rvts9"/>
    <w:rsid w:val="00F40260"/>
  </w:style>
  <w:style w:type="character" w:styleId="ac">
    <w:name w:val="Strong"/>
    <w:basedOn w:val="a0"/>
    <w:uiPriority w:val="22"/>
    <w:qFormat w:val="1"/>
    <w:rsid w:val="0006762A"/>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4ImpRBvjhYKasIrMcwsGJ+dC7A==">AMUW2mUJPyNo+A1jFxK+9aBsEyIodyvtPP2YjDfI0w+dkOI7cKCcgVTfeRoi88HV1Vn8H6cD2F9QhMqSlaxkHfpAxmnUD+Dm9/ldLN+wcSvCqSRVkIwZzqz66tIJgWkF21NqmiCMYgcUb4DRXco9bh+JjX+9FF5NTCsiw9L36UzAsprdct/Fs75E8SrVJlMtsqhCfcO7JFNF937rCWcuanWjZe5oAu4v5Q==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2020-12-29T09:04:00Z</dcterms:created>
  <dc:creator>Пользователь Windows</dc:creator>
</cp:coreProperties>
</file>