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25 квітня 2023 року              м. Сквира                                      </w:t>
      </w:r>
      <w:r w:rsidDel="00000000" w:rsidR="00000000" w:rsidRPr="00000000">
        <w:rPr>
          <w:rFonts w:ascii="Times New Roman" w:cs="Times New Roman" w:eastAsia="Times New Roman" w:hAnsi="Times New Roman"/>
          <w:b w:val="1"/>
          <w:sz w:val="28"/>
          <w:szCs w:val="28"/>
          <w:rtl w:val="0"/>
        </w:rPr>
        <w:t xml:space="preserve">№09-32-VIII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75"/>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виконання Програми енергозбереження</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енергоефективності Сквирської міської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територіальної громади на 2022-2026 роки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2022 році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708"/>
        <w:jc w:val="both"/>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Заслухавши інформацію по виконанню Програми енергозбереження та енергоефективності Сквирської міської територіальної громади на 2022-2026 роки у 2022 році, затвердженої рішенням Сквирської міської ради від 23 грудня 2021 року №07-17-VІІІ, з метою здійснення контролю за виконанням міської цільової Програми, відповідно до статей 26, 27 Закону України «Про місцеве самоврядування в Україні», враховуючи висновки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комісії міської ради, Сквирська міська рада VIII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0"/>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Інформацію про виконання Програми енергозбереження та енергоефективності Сквирської міської ради на 2022-2026 роки у 2022 році, затвердженої рішенням Сквирської міської ради від 23 грудня 2021 року №07-17-VІІІ взяти до відома (додається). </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Сектору інформаційного забезпечення ради опублікувати дане рішення на офіційному сайті Сквирської міської ради.</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center"/>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spacing w:line="276" w:lineRule="auto"/>
        <w:ind w:firstLine="14040"/>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Д</w:t>
      </w:r>
    </w:p>
    <w:p w:rsidR="00000000" w:rsidDel="00000000" w:rsidP="00000000" w:rsidRDefault="00000000" w:rsidRPr="00000000" w14:paraId="0000001F">
      <w:pPr>
        <w:spacing w:line="276" w:lineRule="auto"/>
        <w:ind w:firstLine="14040"/>
        <w:jc w:val="right"/>
        <w:rPr>
          <w:rFonts w:ascii="Times New Roman" w:cs="Times New Roman" w:eastAsia="Times New Roman" w:hAnsi="Times New Roman"/>
          <w:b w:val="1"/>
          <w:sz w:val="24"/>
          <w:szCs w:val="24"/>
        </w:rPr>
      </w:pPr>
      <w:bookmarkStart w:colFirst="0" w:colLast="0" w:name="_heading=h.vo5py6sed8n" w:id="1"/>
      <w:bookmarkEnd w:id="1"/>
      <w:r w:rsidDel="00000000" w:rsidR="00000000" w:rsidRPr="00000000">
        <w:rPr>
          <w:rFonts w:ascii="Times New Roman" w:cs="Times New Roman" w:eastAsia="Times New Roman" w:hAnsi="Times New Roman"/>
          <w:b w:val="1"/>
          <w:sz w:val="24"/>
          <w:szCs w:val="24"/>
          <w:rtl w:val="0"/>
        </w:rPr>
        <w:t xml:space="preserve">Д</w:t>
      </w:r>
    </w:p>
    <w:p w:rsidR="00000000" w:rsidDel="00000000" w:rsidP="00000000" w:rsidRDefault="00000000" w:rsidRPr="00000000" w14:paraId="00000020">
      <w:pPr>
        <w:spacing w:line="276" w:lineRule="auto"/>
        <w:ind w:firstLine="14040"/>
        <w:jc w:val="right"/>
        <w:rPr>
          <w:rFonts w:ascii="Times New Roman" w:cs="Times New Roman" w:eastAsia="Times New Roman" w:hAnsi="Times New Roman"/>
          <w:b w:val="1"/>
          <w:sz w:val="24"/>
          <w:szCs w:val="24"/>
        </w:rPr>
      </w:pPr>
      <w:bookmarkStart w:colFirst="0" w:colLast="0" w:name="_heading=h.2lk79ngjxss6" w:id="2"/>
      <w:bookmarkEnd w:id="2"/>
      <w:r w:rsidDel="00000000" w:rsidR="00000000" w:rsidRPr="00000000">
        <w:rPr>
          <w:rFonts w:ascii="Times New Roman" w:cs="Times New Roman" w:eastAsia="Times New Roman" w:hAnsi="Times New Roman"/>
          <w:b w:val="1"/>
          <w:sz w:val="24"/>
          <w:szCs w:val="24"/>
          <w:rtl w:val="0"/>
        </w:rPr>
        <w:t xml:space="preserve">оДодаток </w:t>
      </w:r>
    </w:p>
    <w:p w:rsidR="00000000" w:rsidDel="00000000" w:rsidP="00000000" w:rsidRDefault="00000000" w:rsidRPr="00000000" w14:paraId="00000021">
      <w:pPr>
        <w:ind w:hanging="2"/>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w:t>
      </w:r>
      <w:r w:rsidDel="00000000" w:rsidR="00000000" w:rsidRPr="00000000">
        <w:rPr>
          <w:rtl w:val="0"/>
        </w:rPr>
      </w:r>
    </w:p>
    <w:p w:rsidR="00000000" w:rsidDel="00000000" w:rsidP="00000000" w:rsidRDefault="00000000" w:rsidRPr="00000000" w14:paraId="00000022">
      <w:pPr>
        <w:ind w:hanging="2"/>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25.04.2023  №09-32-VIII</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про виконання Програми енергозбереження та енергоефективності Сквирської міської територіальної громади на 2022-2026 роки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у 2022 році</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1.Основні дані</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енергозбереження та енергоефективності Сквирської міської територіальної громади на 2022-2026 роки (далі Програма) затверджена рішенням Сквирської міської ради від 23 грудня 2021 року №07-17-VIII.</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Розробником Програми є  Відділ економічно-інвестиційної діяльності та агропромислового розвитку Сквирської міської ради.</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Відповідальним виконавцем Програми є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Учасниками Програми є Структурні підрозділи, виконавчі органи, комунальні підприємства Сквирської міської ради.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реалізації Програми 2022-2026 роки.</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2. Мета та очікувані результати ефективності Програми</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Основною метою Програми є забезпечення ефективного використання паливно-енергетичних ресурсів підприємствами житлово-комунального та міського господарства, бюджетними закладами та установами, ОСББ та населенням Сквирської міської територіальної громади, скорочення бюджетних витрат на використання енергоресурсів, удосконалення системи енергоменеджменту, підвищення культури енергоспоживання.</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енергозбереження та енергоефективності Сквирської міської ради на 2022-2026 роки (далі Програма) спрямована на:</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вирішення проблеми підвищення ефективності використання та зменшення споживання енергоресурсів підприємствами житлово-комунального та міського господарства, бюджетними закладами та установами, об’єднаннями співвласників багатоквартирних будинків (далі ОСББ) та населенням Сквирської міської ради;</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розширення обсягів використання альтернативних видів палива для опалення житлових і громадських будинків і споруд, збільшення обсягів і сфери застосування нетрадиційних і відновлюваних джерел енергії;</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використання інноваційних технічних, технологічних, організаційних рішень, створення економічно привабливих умов для реалізації  інвестиційних проектів у сфері енергозбереження та енергоефективності.</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Фінансове забезпечення Програми</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Бюджетом Сквирської міської територіальної громади у 2022 році фінансового забезпечення для реалізації заходів з енергоефективності закладів бюджетної сфери та комунальних підприємств не передбачалося</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Стан виконання енергозберігаючих заходів Програми в розрізі галузей</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134"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Енергозбереження у сфері зовнішнього освітлення</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13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Зовнішнє освітлення Сквирської міської територіальної громади включає в себе 5046 світлоточок, Загальна довжина електромережі зовнішнього освітлення становить 380 км. Середнє споживання електроенергії однією світлоточкою  зовнішнього  освітлення щорічно зменшувалось та в 2022 році складає 30,22 кВт на рік, що обумовлено проведенням ряду енергозберігаючих заходів, зокрема: заміна застарілих світильників  з лампами 150  та  250 Вт. на сучасні  з лампами  70-100 Вт.,  та світлодіодні світильники; заміна кабельних і повітряних мереж, проведення розфазування світильників, що дозволяє перемикати світильники з денного режиму на  нічний та введенням воєнного стану.</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Загальне споживання електроенергії на потреби зовнішнього освітлення щорічно збільшується. В 2021 році показник споживання становив 360 тис. кВт. На 2022 рік заплановано 360 тис. кВт. Однак фактично використано 152,5 тис. кВт. Зменшення використання енергоспоживання зумовлено введенням воєнного стану та припиненням послуг по вуличному освітленні територіальної громади.</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Зовнішнє вуличне освітлення – вкрай важлива система життєзабезпечення жителів громади, яка   включає:</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освітлення  транспортних  магістралей;</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 освітлення  житлових  районів  і  пішохідних  зон;</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архітектурне  освітлення.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Незважаючи на воєнний стан, мережа вуличного освітлення територіальної громади перебуває в робочому стані. Комунальне підприємство «Сквираблагоустрій» проводить поточний ремонт діючої мереж. Фактичні витрати за 2022 рік становлять 1556,7 тис. грн. в тому числі витрати на оплату електроенергії 811,2 тис. гривень.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Постачання електричної енергії для Сквирської міської територіальної громади ТОВ «Київська обласна енергопостачальна компанія».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Електропостачання здійснюється від зовнішніх джерел енергії, зв'язок із якими здійснюється по лініях електропередачі напругою 110  кВ.</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Роботи з експлуатації та утримання електромереж зовнішнього освітлення громади здійснює комунальне підприємство «Сквираблагоустрій», а капітальний ремонт  та реконструкцію здійснюють підрядні організації згідно договорів.</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реконструкції та відновлення мереж вуличного освітлення в населених пунктах громади протягом 2022 року комунальним підприємством «Сквираблагоустрій» за кошти міського бюджету проведено поточні ремонти мереж зовнішнього освітлення (заміна ламп, таймерів, автоматичних вимикачів, драйверів, кабелю тощо) на загальну суму 94,3 тис. грн. Роботи проводились в м. Сквира та селах Сквирської міської територіальної громади. У 2023 році підприємством продовжується робота з заміни звичайних ламп розжарювання на енергоекономні.</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4.2 Енергозбереження у сфері водопровідно-каналізаційного господарства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Слід зазначити, що витрати енергоносіїв, зокрема електричної енергії є однією із суттєвих складових тарифу на послуги централізованого водопостачання та централізованого водовідведення.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Водопровідно-каналізаційне господарство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один з найбільших споживачів електроенергії у комунальній сфері громади.</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основних видів діяльності КП «Сквир-водоканал» є  надання споживачам послуг з централізованого водопостачання та водовідведення згідно укладених договорів. Централізована водопровідна мережа в м.Сквира функціонує із 1970 року, а централізована каналізаційна мережа із 1984 року.</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Водопостачання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здійснюється з підземних джерел артезіанськими свердловинами. Артезіанські свердловини розташовані на 2-х водозаборах.</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водопостачання є централізованою та включає в себе наступні споруди:</w:t>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709"/>
          <w:tab w:val="left" w:leader="none" w:pos="993"/>
        </w:tabs>
        <w:spacing w:after="0" w:before="0" w:line="240" w:lineRule="auto"/>
        <w:ind w:left="1069" w:right="0" w:hanging="78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водозабірних артезіанських свердловин;</w:t>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709"/>
          <w:tab w:val="left" w:leader="none" w:pos="993"/>
        </w:tabs>
        <w:spacing w:after="0" w:before="0" w:line="240" w:lineRule="auto"/>
        <w:ind w:left="1069" w:right="0" w:hanging="78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водопровідна насосна станція ІІ-ІІІ підйомів загальною  потужністю 3,0 тис. куб. м. на добу;</w:t>
      </w:r>
    </w:p>
    <w:p w:rsidR="00000000" w:rsidDel="00000000" w:rsidP="00000000" w:rsidRDefault="00000000" w:rsidRPr="00000000" w14:paraId="0000004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709"/>
          <w:tab w:val="left" w:leader="none" w:pos="993"/>
        </w:tabs>
        <w:spacing w:after="0" w:before="0" w:line="240" w:lineRule="auto"/>
        <w:ind w:left="1069" w:right="0" w:hanging="78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резервуари чистої води у кількості 2-х од. об’ємом 3,0 тис. куб. м..</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Довжина водопровідних мереж, що перебувають на балансі підприємства, складає 60,3 км. Загальна протяжність  аварійної мережі 46 км., що становить 76,3% загальної довжини.</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Загальні витрати електроенергії на водопостачання за  2022 рік склали   568,3 тис. кВт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Водовідведення.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Протяжність каналізаційних мереж і колекторів, що обліковуються на балансі підприємства, становить 33 км. Загальна протяжність  аварійної мережі 15 км., що становить 45,5% загальної довжини.  Система водовідведення м. Сквира є загальносплавною, за допомогою якої на очисні споруди відводяться господарсько-побутові, промислові, зливові та талі води.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Стічні води в м. Сквира на очисні споруди перекачують 6-ть КНС, на яких встановлено 12-ть основних насосних агрегатів, при нормі 18 шт.( 6 насосів, резервні).</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Потужність власних очисних споруд каналізації в м. Сквира – 3,5 тис.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/добу.</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Загальні витрати електроенергії на водовідведення за  2022 рік склали   284,5 тис. кВт</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результаті довготривалого терміну експлуатації обладнання, запірна арматура, трубопроводи та інше зносилось, морально та фізично застаріло, енергозатратне.  Значна протяжність  аварійних водопровідно-каналізаційних мереж та запірної арматури на них, чим викликається збільшення втрат питної води із мереж та витрат на експлуатацію. Недостатня потужність власних очисних споруд каналізації та їх застарілість.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Централізоване водопостачання та централізоване водовідведення.</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Сквирській міській територіальній громаді підключені та користуються послугами централізованого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водопостачання 6507 абонентів в м. Сквира та 203 абонента які обслуговуються КП «Сквир-водоканал» в сільських населених пунктах, а також користуються послугами централізованого водовідведення 1653 абоненти міста Сквира. </w:t>
      </w:r>
      <w:r w:rsidDel="00000000" w:rsidR="00000000" w:rsidRPr="00000000">
        <w:rPr>
          <w:rFonts w:ascii="Times New Roman" w:cs="Times New Roman" w:eastAsia="Times New Roman" w:hAnsi="Times New Roman"/>
          <w:sz w:val="28"/>
          <w:szCs w:val="28"/>
          <w:rtl w:val="0"/>
        </w:rPr>
        <w:t xml:space="preserve">Оснащені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системами обліку централізованого холодного водопостачання і водовідведення - 100 % абонентів багатоквартирних житлових будинків та понад 91% приватних будинків в м. Сквира; системи централізованого гарячого водопостачання житлових будинків та системи централізованого опалення житлових будинків відсутні.</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7dp8vu" w:id="3"/>
      <w:bookmarkEnd w:id="3"/>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Напрямки вирішення проблем водопровідно-каналізаційного господарства:</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280" w:line="240" w:lineRule="auto"/>
        <w:ind w:left="720" w:right="0" w:hanging="43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заміна водопровідних та каналізаційних мереж;</w:t>
      </w:r>
    </w:p>
    <w:p w:rsidR="00000000" w:rsidDel="00000000" w:rsidP="00000000" w:rsidRDefault="00000000" w:rsidRPr="00000000" w14:paraId="000000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використання автоматичних систем управління водопостачанням;</w:t>
      </w:r>
    </w:p>
    <w:p w:rsidR="00000000" w:rsidDel="00000000" w:rsidP="00000000" w:rsidRDefault="00000000" w:rsidRPr="00000000" w14:paraId="000000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модернізація енергетичного та технологічного обладнання насосних станцій;</w:t>
      </w:r>
    </w:p>
    <w:p w:rsidR="00000000" w:rsidDel="00000000" w:rsidP="00000000" w:rsidRDefault="00000000" w:rsidRPr="00000000" w14:paraId="000000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вжиття заходів щодо оптимізації витрат на енергоносії:</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hanging="435.99999999999994"/>
        <w:jc w:val="left"/>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установка сонячної електростанції під власне споживання;</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hanging="435.9999999999999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заміна застарілого насосного обладнання.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2022 році планувалося по програмі енергозбереження та енергоефективності Сквирської міської ради установку сонячної електростанції на території КП «Сквир-водоканал»(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м.Сквира, вул.Залізнична,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станція II підйому ) на базі інверторів Fronius Eco 27.0-3-S і сонячних монокрісталлоіческих панелях Longi Solar LR6-72-345M (потужність </w:t>
      </w:r>
      <w:r w:rsidDel="00000000" w:rsidR="00000000" w:rsidRPr="00000000">
        <w:rPr>
          <w:rFonts w:ascii="Times New Roman" w:cs="Times New Roman" w:eastAsia="Times New Roman" w:hAnsi="Times New Roman"/>
          <w:sz w:val="28"/>
          <w:szCs w:val="28"/>
          <w:rtl w:val="0"/>
        </w:rPr>
        <w:t xml:space="preserve">35 кВТ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Завдяки якої підприємство може економити 35 тис. кВТ в рік, що становить близько 210,0 тис.гривень. З ситуацією яка склалася в країні роботи не виконувалися.</w:t>
      </w:r>
    </w:p>
    <w:p w:rsidR="00000000" w:rsidDel="00000000" w:rsidP="00000000" w:rsidRDefault="00000000" w:rsidRPr="00000000" w14:paraId="0000005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830" w:right="0" w:hanging="154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Стан енергоспоживання закладами та установами освіти</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закладів, підпорядковані відділу освіти, опалюються природним газом, який забезпечується власними газовими котельнями.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закладів опалюються альтернативними видами палива.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Постачання електроенергії в усі установи галузі здійснюється ТОВ «Енергія України».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Холодною водою міські установи централізовано забезпечує   КП «Сквир-водоканал». Цим же підприємством забезпечуються послуги водовідведення всім установам, крім тих, які користуються вигрібними ямами.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Сільські заклади освіти забезпечуються водою з власних чи комунальних свердловин.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Будівлі усіх закладів освіти забезпечені приладами обліку електроенергії, холодної та гарячої води,  приладами обліку теплової енергії.</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Аналіз стану показників енергоресурсів  наведено у таблиці 1.</w:t>
      </w:r>
    </w:p>
    <w:tbl>
      <w:tblPr>
        <w:tblStyle w:val="Table1"/>
        <w:tblW w:w="10725.0" w:type="dxa"/>
        <w:jc w:val="left"/>
        <w:tblInd w:w="-851.0" w:type="dxa"/>
        <w:tblLayout w:type="fixed"/>
        <w:tblLook w:val="0000"/>
      </w:tblPr>
      <w:tblGrid>
        <w:gridCol w:w="1725"/>
        <w:gridCol w:w="225"/>
        <w:gridCol w:w="105"/>
        <w:gridCol w:w="1035"/>
        <w:gridCol w:w="1110"/>
        <w:gridCol w:w="105"/>
        <w:gridCol w:w="1065"/>
        <w:gridCol w:w="105"/>
        <w:gridCol w:w="1080"/>
        <w:gridCol w:w="105"/>
        <w:gridCol w:w="990"/>
        <w:gridCol w:w="105"/>
        <w:gridCol w:w="990"/>
        <w:gridCol w:w="105"/>
        <w:gridCol w:w="225"/>
        <w:gridCol w:w="105"/>
        <w:gridCol w:w="105"/>
        <w:gridCol w:w="315"/>
        <w:gridCol w:w="105"/>
        <w:gridCol w:w="1020"/>
        <w:tblGridChange w:id="0">
          <w:tblGrid>
            <w:gridCol w:w="1725"/>
            <w:gridCol w:w="225"/>
            <w:gridCol w:w="105"/>
            <w:gridCol w:w="1035"/>
            <w:gridCol w:w="1110"/>
            <w:gridCol w:w="105"/>
            <w:gridCol w:w="1065"/>
            <w:gridCol w:w="105"/>
            <w:gridCol w:w="1080"/>
            <w:gridCol w:w="105"/>
            <w:gridCol w:w="990"/>
            <w:gridCol w:w="105"/>
            <w:gridCol w:w="990"/>
            <w:gridCol w:w="105"/>
            <w:gridCol w:w="225"/>
            <w:gridCol w:w="105"/>
            <w:gridCol w:w="105"/>
            <w:gridCol w:w="315"/>
            <w:gridCol w:w="105"/>
            <w:gridCol w:w="1020"/>
          </w:tblGrid>
        </w:tblGridChange>
      </w:tblGrid>
      <w:tr>
        <w:trPr>
          <w:cantSplit w:val="0"/>
          <w:trHeight w:val="300" w:hRule="atLeast"/>
          <w:tblHeader w:val="0"/>
        </w:trPr>
        <w:tc>
          <w:tcPr>
            <w:tcBorders>
              <w:top w:color="000000" w:space="0" w:sz="4" w:val="single"/>
              <w:left w:color="000000" w:space="0" w:sz="4" w:val="single"/>
              <w:bottom w:color="000000" w:space="0" w:sz="0" w:val="nil"/>
              <w:right w:color="000000" w:space="0" w:sz="0" w:val="nil"/>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Найменування</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2021 рік</w:t>
            </w:r>
          </w:p>
        </w:tc>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2022 рік </w:t>
            </w:r>
          </w:p>
        </w:tc>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4"/>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Відхилення/економія </w:t>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3"/>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Примітка</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показника </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енергоресурсу</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кВт,куб.м.</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кВт,куб.м.</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кВт,куб.м.</w:t>
            </w:r>
          </w:p>
        </w:tc>
        <w:tc>
          <w:tcPr>
            <w:gridSpan w:val="3"/>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510" w:hRule="atLeast"/>
          <w:tblHeader w:val="0"/>
        </w:trPr>
        <w:tc>
          <w:tcPr>
            <w:tcBorders>
              <w:top w:color="000000" w:space="0" w:sz="4" w:val="single"/>
              <w:left w:color="000000" w:space="0" w:sz="4" w:val="single"/>
              <w:bottom w:color="000000" w:space="0" w:sz="0" w:val="nil"/>
              <w:right w:color="000000" w:space="0" w:sz="0" w:val="nil"/>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Теплова енергія</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9136,122</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5,574</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10807,566</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4,472</w:t>
            </w:r>
          </w:p>
        </w:tc>
        <w:tc>
          <w:tcPr>
            <w:gridSpan w:val="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1671,444</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1,102</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економія</w:t>
            </w:r>
          </w:p>
        </w:tc>
      </w:tr>
      <w:tr>
        <w:trPr>
          <w:cantSplit w:val="0"/>
          <w:trHeight w:val="39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Електрична енергія</w:t>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2698,097</w:t>
            </w:r>
          </w:p>
        </w:tc>
        <w:tc>
          <w:tcPr>
            <w:gridSpan w:val="2"/>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723,981</w:t>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3116,595</w:t>
            </w:r>
          </w:p>
        </w:tc>
        <w:tc>
          <w:tcPr>
            <w:gridSpan w:val="2"/>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599,954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418,498</w:t>
            </w:r>
          </w:p>
        </w:tc>
        <w:tc>
          <w:tcPr>
            <w:gridSpan w:val="2"/>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124,027</w:t>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економія</w:t>
            </w:r>
          </w:p>
        </w:tc>
      </w:tr>
      <w:tr>
        <w:trPr>
          <w:cantSplit w:val="0"/>
          <w:trHeight w:val="435" w:hRule="atLeast"/>
          <w:tblHeader w:val="0"/>
        </w:trPr>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Природний газ</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3322,735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283,21</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3409,039</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205,935</w:t>
            </w:r>
          </w:p>
        </w:tc>
        <w:tc>
          <w:tcPr>
            <w:gridSpan w:val="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86,304</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77,275</w:t>
            </w:r>
          </w:p>
        </w:tc>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економія</w:t>
            </w:r>
          </w:p>
        </w:tc>
      </w:tr>
      <w:tr>
        <w:trPr>
          <w:cantSplit w:val="0"/>
          <w:trHeight w:val="300" w:hRule="atLeast"/>
          <w:tblHeader w:val="0"/>
        </w:trPr>
        <w:tc>
          <w:tcPr>
            <w:gridSpan w:val="2"/>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Послуги з водопостачання</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4,231</w:t>
            </w:r>
          </w:p>
        </w:tc>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4,252</w:t>
            </w:r>
          </w:p>
        </w:tc>
        <w:tc>
          <w:tcPr>
            <w:gridSpan w:val="2"/>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0,021</w:t>
            </w:r>
          </w:p>
        </w:tc>
        <w:tc>
          <w:tcPr>
            <w:gridSpan w:val="3"/>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відхилення</w:t>
            </w:r>
          </w:p>
        </w:tc>
      </w:tr>
      <w:tr>
        <w:trPr>
          <w:cantSplit w:val="0"/>
          <w:trHeight w:val="300"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та водовідведення </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203,177</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2,386</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282,5</w:t>
            </w:r>
          </w:p>
        </w:tc>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2,216</w:t>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79,323</w:t>
            </w:r>
          </w:p>
        </w:tc>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0,17</w:t>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економія</w:t>
            </w:r>
          </w:p>
        </w:tc>
      </w:tr>
    </w:tb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
        <w:tblW w:w="9689.0" w:type="dxa"/>
        <w:jc w:val="left"/>
        <w:tblLayout w:type="fixed"/>
        <w:tblLook w:val="0000"/>
      </w:tblPr>
      <w:tblGrid>
        <w:gridCol w:w="9689"/>
        <w:tblGridChange w:id="0">
          <w:tblGrid>
            <w:gridCol w:w="9689"/>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Економії з водопостачання не відбулося за рахунок встановлення двох приладів обліку водопостачання.</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Економії по коштам не відбулося за рахунок підвищення тарифів на енергоресурси у 2022 р. порівняно з 2021 р.</w:t>
            </w:r>
          </w:p>
        </w:tc>
      </w:tr>
    </w:tbl>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енергозберігаючих заходів було проведено заміну вікон у їдальні Сквирського академічного ліцею на енергозберігаючі.</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Встановлено прилади обліку води у Шамраївському НВК та Чубинецькій початковій школі.</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2017 року у закладах освіти здійснюється контроль споживання енергетичних ресурсів в Автоматизованій системі енергомоніторингу "Київщина енергоефективна" у щоденному режимі;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Впродовж останніх років реалізовано 4 проекти з енергозбереження у закладах освіти на основі енергосервісних договорів, два з яких завершено. </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4.4 Енергозбереження у закладах і установах культури Сквирської міської ради</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у громаді збережено діючу мережу закладів культури. На території Сквирської міської територіальної громади станом на 01.01.2023 року налічується 35 клубних закладів культури, 37 бібліотек,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Усі будівлі закладів культури громади побудовані більше 40 років тому та потребують невідкладних  заходів з енергозбереження.</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Річні обсяги споживання паливно-енергетичних ресурсів закладів культури в порівнянні з 2021 роком представлені в таблиці</w:t>
      </w:r>
    </w:p>
    <w:tbl>
      <w:tblPr>
        <w:tblStyle w:val="Table3"/>
        <w:tblW w:w="9979.0" w:type="dxa"/>
        <w:jc w:val="left"/>
        <w:tblInd w:w="5.0" w:type="dxa"/>
        <w:tblLayout w:type="fixed"/>
        <w:tblLook w:val="0000"/>
      </w:tblPr>
      <w:tblGrid>
        <w:gridCol w:w="2122"/>
        <w:gridCol w:w="1080"/>
        <w:gridCol w:w="1300"/>
        <w:gridCol w:w="960"/>
        <w:gridCol w:w="1200"/>
        <w:gridCol w:w="1012"/>
        <w:gridCol w:w="1201"/>
        <w:gridCol w:w="1104"/>
        <w:tblGridChange w:id="0">
          <w:tblGrid>
            <w:gridCol w:w="2122"/>
            <w:gridCol w:w="1080"/>
            <w:gridCol w:w="1300"/>
            <w:gridCol w:w="960"/>
            <w:gridCol w:w="1200"/>
            <w:gridCol w:w="1012"/>
            <w:gridCol w:w="1201"/>
            <w:gridCol w:w="1104"/>
          </w:tblGrid>
        </w:tblGridChange>
      </w:tblGrid>
      <w:tr>
        <w:trPr>
          <w:cantSplit w:val="1"/>
          <w:trHeight w:val="60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Найменування показника енергоресурсу</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2021 рік</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2022 рік</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Відхилення/економія</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Примітка</w:t>
            </w:r>
          </w:p>
        </w:tc>
      </w:tr>
      <w:tr>
        <w:trPr>
          <w:cantSplit w:val="1"/>
          <w:trHeight w:val="63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46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Теплова енергія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46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Електрична енергія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227,8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57368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182,5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31464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-25904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46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Природний газ</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375,5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31184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449,1</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27130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-4054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Послуги з водопостачання та водовідведення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260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Завдяки проведенню енергоефективних заходів в попередні роки, а саме</w:t>
      </w: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капітальних робіт по заміні вікон та дверей на енергозберігаючі у Антонівському сільському Будинку культури  та Рибчинецькому клубі, а також</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встановлення енергозберігаючих вікон в Горобіївському сільському Будинку культури дають змогу заощадити бюджетні кошти та зберегти теплозахисні властивості зовнішніх конструкцій. В деяких закладах проведено роботи по  встановленню електроопалення. У закладах культури постійно ведеться робота серед працівників щодо культури споживання енергоресурсів  та організаційна робота зі стимулювання їх економії працівниками та  учнями закладів культури.</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75" w:right="0" w:hanging="3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Оцінка потенціалу енергозбереження в закладах і установах охорони здоров’я</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33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Галузь охорони здоров’я Сквирської міської територіальної громади представлена двома закладами охорони здоров’я – комунальне некомерційне підприємство Сквирської міської ради «Сквирська центральна міська лікарня» та комунальне некомерційне підприємство Сквирської міської ради «Сквирський міський центр первинної медико-санітарної допомоги». </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КНП СМР «Сквирська ЦМЛ» надає вторинну спеціалізовану стаціонарну та амбулаторну медичну допомогу стаціонаром на 115 ліжок та консультативною поліклінікою.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33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складу КПН СМР «Сквирський МЦПМСД» входить 7 амбулаторій ЗПСМ, 31 фельдшерських пункти  та відділення невідкладної допомоги.</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33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Обсяг використання енергоресурсів КНП СМР «Сквирська центральна міська лікарня» </w:t>
      </w:r>
      <w:r w:rsidDel="00000000" w:rsidR="00000000" w:rsidRPr="00000000">
        <w:rPr>
          <w:rtl w:val="0"/>
        </w:rPr>
      </w:r>
    </w:p>
    <w:tbl>
      <w:tblPr>
        <w:tblStyle w:val="Table4"/>
        <w:tblW w:w="9493.0" w:type="dxa"/>
        <w:jc w:val="left"/>
        <w:tblInd w:w="5.0" w:type="dxa"/>
        <w:tblLayout w:type="fixed"/>
        <w:tblLook w:val="0000"/>
      </w:tblPr>
      <w:tblGrid>
        <w:gridCol w:w="1689"/>
        <w:gridCol w:w="943"/>
        <w:gridCol w:w="1064"/>
        <w:gridCol w:w="942"/>
        <w:gridCol w:w="1064"/>
        <w:gridCol w:w="1053"/>
        <w:gridCol w:w="1127"/>
        <w:gridCol w:w="1611"/>
        <w:tblGridChange w:id="0">
          <w:tblGrid>
            <w:gridCol w:w="1689"/>
            <w:gridCol w:w="943"/>
            <w:gridCol w:w="1064"/>
            <w:gridCol w:w="942"/>
            <w:gridCol w:w="1064"/>
            <w:gridCol w:w="1053"/>
            <w:gridCol w:w="1127"/>
            <w:gridCol w:w="1611"/>
          </w:tblGrid>
        </w:tblGridChange>
      </w:tblGrid>
      <w:tr>
        <w:trPr>
          <w:cantSplit w:val="1"/>
          <w:trHeight w:val="60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Найменування показника енергоресурсу</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2021 рік</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2022 рік</w:t>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Відхилення/економія</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Примітка</w:t>
            </w:r>
          </w:p>
        </w:tc>
      </w:tr>
      <w:tr>
        <w:trPr>
          <w:cantSplit w:val="1"/>
          <w:trHeight w:val="90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тис.грн.</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тис.Гкал, кВт, куб.м.</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Теплова енергія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4864,5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2892,5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5875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2515,6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-1010,5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376,9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Електрична енергія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1289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465161,2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1524,5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380202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-235,5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84959,2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r>
        <w:trPr>
          <w:cantSplit w:val="0"/>
          <w:trHeight w:val="90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Природний газ</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використовується</w:t>
            </w:r>
          </w:p>
        </w:tc>
      </w:tr>
      <w:tr>
        <w:trPr>
          <w:cantSplit w:val="0"/>
          <w:trHeight w:val="90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Послуги з водопостачання та водовідведення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932,2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23096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808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12694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124,2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10402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75" w:right="0" w:hanging="3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Стан енергоспоживання в закладах і установах соціального захисту</w:t>
      </w: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65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сфері соціального захисту населення функціонує комунальна установа  Сквирської міської ради “Центр надання соціальних послуг”. Основною метою діяльності якої є сприяння у розв’язанні проблемних питань і надання соціальних послуг громадянам України, іноземцям та особам без громадянства, які проживають на території Сквирської міської територіальної громади.</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6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Напротязі звітного періоду для відділення стаціонарного догляду для постійного або тимчасового проживання с. Горобіївка були придбані енергозберігаючі лампочки на суму 0,7 тис. грн.</w:t>
      </w: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6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Інформацію щодо фактичного використання електроенергії в порівнянні з аналогічним періодом минулого року надано в таблиці.</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5"/>
        <w:tblW w:w="9918.0" w:type="dxa"/>
        <w:jc w:val="left"/>
        <w:tblInd w:w="5.0" w:type="dxa"/>
        <w:tblLayout w:type="fixed"/>
        <w:tblLook w:val="0000"/>
      </w:tblPr>
      <w:tblGrid>
        <w:gridCol w:w="1853"/>
        <w:gridCol w:w="1080"/>
        <w:gridCol w:w="1295"/>
        <w:gridCol w:w="1080"/>
        <w:gridCol w:w="1066"/>
        <w:gridCol w:w="1123"/>
        <w:gridCol w:w="1355"/>
        <w:gridCol w:w="12"/>
        <w:gridCol w:w="1054"/>
        <w:tblGridChange w:id="0">
          <w:tblGrid>
            <w:gridCol w:w="1853"/>
            <w:gridCol w:w="1080"/>
            <w:gridCol w:w="1295"/>
            <w:gridCol w:w="1080"/>
            <w:gridCol w:w="1066"/>
            <w:gridCol w:w="1123"/>
            <w:gridCol w:w="1355"/>
            <w:gridCol w:w="12"/>
            <w:gridCol w:w="1054"/>
          </w:tblGrid>
        </w:tblGridChange>
      </w:tblGrid>
      <w:tr>
        <w:trPr>
          <w:cantSplit w:val="1"/>
          <w:trHeight w:val="765"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Найменування показника енергоресурсу</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2021 рік</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2022 рік</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відхилення/економія</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Примітка</w:t>
            </w:r>
            <w:r w:rsidDel="00000000" w:rsidR="00000000" w:rsidRPr="00000000">
              <w:rPr>
                <w:rtl w:val="0"/>
              </w:rPr>
            </w:r>
          </w:p>
        </w:tc>
      </w:tr>
      <w:tr>
        <w:trPr>
          <w:cantSplit w:val="1"/>
          <w:trHeight w:val="7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тис.грн.</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тис.Гкал, кВт,куб.м</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тис.грн.</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тис.Гкал, кВт,куб.м</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тис.грн.</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тис.Гкал, кВт,куб.м</w:t>
            </w:r>
            <w:r w:rsidDel="00000000" w:rsidR="00000000" w:rsidRPr="00000000">
              <w:rPr>
                <w:rtl w:val="0"/>
              </w:rPr>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Теплова енергія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0,026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234,0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0,08645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188,0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w:t>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rHeight w:val="75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Електрична енергія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695,5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187,97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658,0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118,6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-69,4</w:t>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rHeight w:val="58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природний газ</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rHeight w:val="94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послуги з водопостачання і водовідведення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0,0497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0,1048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w:t>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75" w:right="0" w:hanging="375"/>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333333"/>
          <w:sz w:val="28"/>
          <w:szCs w:val="28"/>
          <w:u w:val="none"/>
          <w:shd w:fill="auto" w:val="clear"/>
          <w:vertAlign w:val="baseline"/>
          <w:rtl w:val="0"/>
        </w:rPr>
        <w:t xml:space="preserve"> Стан енергозбереження для населення та ОСББ</w:t>
      </w: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5" w:right="0" w:firstLine="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У всьому світі, питання енергозбереження стає дедалі актуальнішим. Це не лише економічна вигода для споживачів та зменшення навантаження на електричні мережі, а також, що надзвичайно важливо, збереження довкілля для наших нащадків.</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Енергозбереження передбачає не відмову від благ цивілізації чи обмеження власних потреб, а шлях раціонального використання енергоресурсів, отримання більшого обсягу корисної роботи електроприладів за рахунок тієї ж кількості електроенергії.</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Усі заходи, які може здійснити громадянин для покращення власного побуту за нових умов, можна розділити на чотири напрями:</w:t>
      </w:r>
    </w:p>
    <w:p w:rsidR="00000000" w:rsidDel="00000000" w:rsidP="00000000" w:rsidRDefault="00000000" w:rsidRPr="00000000" w14:paraId="000001B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Заощадження ресурсів: води, газу, тепла тощо. Для цього потрібно просто відкоригувати побутові звички та здійснити прості заходи, наприклад, налагодити крани та встановити тепловідбивні екрани за радіаторами.</w:t>
      </w:r>
    </w:p>
    <w:p w:rsidR="00000000" w:rsidDel="00000000" w:rsidP="00000000" w:rsidRDefault="00000000" w:rsidRPr="00000000" w14:paraId="000001C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Утеплення приміщення. Наприклад, заміна чи заклеювання вікон, проведення теплоізоляції даху, модернізація системи вентиляції тощо.</w:t>
      </w:r>
    </w:p>
    <w:p w:rsidR="00000000" w:rsidDel="00000000" w:rsidP="00000000" w:rsidRDefault="00000000" w:rsidRPr="00000000" w14:paraId="000001C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Встановлення приладів обліку. Це дозволить платити лише за спожиті ресурси.</w:t>
      </w:r>
    </w:p>
    <w:p w:rsidR="00000000" w:rsidDel="00000000" w:rsidP="00000000" w:rsidRDefault="00000000" w:rsidRPr="00000000" w14:paraId="000001C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Перехід на більш сучасні, енергозберігаючі та альтернативні джерела енергії та системи комунікацій. Наприклад, заміна газового котла твердопаливним за допомогою програми державного кредитування, і встановлення вітрогенераторів.</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Стимулювання об’єднань співвласників багатоквартирних будинків </w:t>
      </w:r>
      <w:bookmarkStart w:colFirst="0" w:colLast="0" w:name="bookmark=kix.z4rpigyy97ot" w:id="4"/>
      <w:bookmarkEnd w:id="4"/>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до впровадження енергоефективних заходів шляхом відшкодування частини суми кредитів, залучених на придбання </w:t>
      </w:r>
      <w:bookmarkStart w:colFirst="0" w:colLast="0" w:name="bookmark=kix.1f91vhwuib1f"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обладнання і матеріалів для модернізації систем освітлення місць загального користування (у тому числі електропроводки, автоматичних вимикачів, </w:t>
      </w:r>
      <w:bookmarkStart w:colFirst="0" w:colLast="0" w:name="bookmark=kix.lodwrfmc6pqf"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багатозонних (багатотарифних) приладів обліку електричної енергії (лічильників активної електричної енергії) та відповідного додаткового обладнання і матеріалів до них, а також обладнання і матеріалів для проведення робіт з теплоізоляції (термомодернізації) зовнішніх стін, підвальних приміщень, горищ, покрівель та фундаментів. </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Бюджетом Сквирської міської територіальної громади у 2022 році співфінансування програм енергоефективних заходів в житлових будинках ОСББ не передбачалося</w:t>
      </w:r>
      <w:bookmarkStart w:colFirst="0" w:colLast="0" w:name="bookmark=kix.g38wfyv4zgor"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Заявок, звернень від співвласників ОСББ щодо потреби у реалізації заходів з енергоефективності житлових будинків до Сквирської міської ради не надходило. В перспективних планах розглядається можливість затвердження Програми сприяння створенню ОСББ та підтримки будинків ОСББ та ЖБК Сквирської міської територіальної громади на 2023-2025 роки.</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01.01.2023 року кількість зареєстрованих об’єднань становить – 4 суб`єкти.</w:t>
      </w:r>
    </w:p>
    <w:p w:rsidR="00000000" w:rsidDel="00000000" w:rsidP="00000000" w:rsidRDefault="00000000" w:rsidRPr="00000000" w14:paraId="000001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Висновки та рекомендації</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Енергозбереження залишається одним із пріоритетних напрямків діяльності Сквирської міської ради щодо ефективного втілення в життя державної політики енергозбереження та енергоефективності. Успішним досягненням сучасного технічного, економічного, організаційного рівня підприємствами житлово-комунального господарства, бюджетними закладами, установами та всебічне залучення населення міста, ОСББ до енергоощадних заходів за рахунок системного і комплексного вирішення поставлених завдань.</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будівництва, комунальної власності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w:t>
        <w:tab/>
        <w:tab/>
        <w:tab/>
        <w:tab/>
        <w:tab/>
        <w:tab/>
        <w:t xml:space="preserve">                  Марина ТЕРНОВА</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709"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3"/>
      <w:numFmt w:val="decimal"/>
      <w:lvlText w:val="%1."/>
      <w:lvlJc w:val="left"/>
      <w:pPr>
        <w:ind w:left="720" w:hanging="360"/>
      </w:pPr>
      <w:rPr>
        <w:b w:val="1"/>
        <w:i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4"/>
      <w:numFmt w:val="decimal"/>
      <w:lvlText w:val="%1"/>
      <w:lvlJc w:val="left"/>
      <w:pPr>
        <w:ind w:left="375" w:hanging="375"/>
      </w:pPr>
      <w:rPr>
        <w:vertAlign w:val="baseline"/>
      </w:rPr>
    </w:lvl>
    <w:lvl w:ilvl="1">
      <w:start w:val="1"/>
      <w:numFmt w:val="decimal"/>
      <w:lvlText w:val="%1.%2"/>
      <w:lvlJc w:val="left"/>
      <w:pPr>
        <w:ind w:left="1455" w:hanging="375"/>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400" w:hanging="108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7920" w:hanging="1440"/>
      </w:pPr>
      <w:rPr>
        <w:vertAlign w:val="baseline"/>
      </w:rPr>
    </w:lvl>
    <w:lvl w:ilvl="7">
      <w:start w:val="1"/>
      <w:numFmt w:val="decimal"/>
      <w:lvlText w:val="%1.%2.%3.%4.%5.%6.%7.%8"/>
      <w:lvlJc w:val="left"/>
      <w:pPr>
        <w:ind w:left="9360" w:hanging="1800"/>
      </w:pPr>
      <w:rPr>
        <w:vertAlign w:val="baseline"/>
      </w:rPr>
    </w:lvl>
    <w:lvl w:ilvl="8">
      <w:start w:val="1"/>
      <w:numFmt w:val="decimal"/>
      <w:lvlText w:val="%1.%2.%3.%4.%5.%6.%7.%8.%9"/>
      <w:lvlJc w:val="left"/>
      <w:pPr>
        <w:ind w:left="10800" w:hanging="2160"/>
      </w:pPr>
      <w:rPr>
        <w:vertAlign w:val="baseline"/>
      </w:rPr>
    </w:lvl>
  </w:abstractNum>
  <w:abstractNum w:abstractNumId="4">
    <w:lvl w:ilvl="0">
      <w:start w:val="4"/>
      <w:numFmt w:val="decimal"/>
      <w:lvlText w:val="%1"/>
      <w:lvlJc w:val="left"/>
      <w:pPr>
        <w:ind w:left="375" w:hanging="375"/>
      </w:pPr>
      <w:rPr>
        <w:b w:val="0"/>
        <w:i w:val="0"/>
        <w:vertAlign w:val="baseline"/>
      </w:rPr>
    </w:lvl>
    <w:lvl w:ilvl="1">
      <w:start w:val="5"/>
      <w:numFmt w:val="decimal"/>
      <w:lvlText w:val="%1.%2"/>
      <w:lvlJc w:val="left"/>
      <w:pPr>
        <w:ind w:left="375" w:hanging="375"/>
      </w:pPr>
      <w:rPr>
        <w:b w:val="0"/>
        <w:i w:val="0"/>
        <w:vertAlign w:val="baseline"/>
      </w:rPr>
    </w:lvl>
    <w:lvl w:ilvl="2">
      <w:start w:val="1"/>
      <w:numFmt w:val="decimal"/>
      <w:lvlText w:val="%1.%2.%3"/>
      <w:lvlJc w:val="left"/>
      <w:pPr>
        <w:ind w:left="720" w:hanging="720"/>
      </w:pPr>
      <w:rPr>
        <w:b w:val="0"/>
        <w:i w:val="0"/>
        <w:vertAlign w:val="baseline"/>
      </w:rPr>
    </w:lvl>
    <w:lvl w:ilvl="3">
      <w:start w:val="1"/>
      <w:numFmt w:val="decimal"/>
      <w:lvlText w:val="%1.%2.%3.%4"/>
      <w:lvlJc w:val="left"/>
      <w:pPr>
        <w:ind w:left="1080" w:hanging="1080"/>
      </w:pPr>
      <w:rPr>
        <w:b w:val="0"/>
        <w:i w:val="0"/>
        <w:vertAlign w:val="baseline"/>
      </w:rPr>
    </w:lvl>
    <w:lvl w:ilvl="4">
      <w:start w:val="1"/>
      <w:numFmt w:val="decimal"/>
      <w:lvlText w:val="%1.%2.%3.%4.%5"/>
      <w:lvlJc w:val="left"/>
      <w:pPr>
        <w:ind w:left="1080" w:hanging="1080"/>
      </w:pPr>
      <w:rPr>
        <w:b w:val="0"/>
        <w:i w:val="0"/>
        <w:vertAlign w:val="baseline"/>
      </w:rPr>
    </w:lvl>
    <w:lvl w:ilvl="5">
      <w:start w:val="1"/>
      <w:numFmt w:val="decimal"/>
      <w:lvlText w:val="%1.%2.%3.%4.%5.%6"/>
      <w:lvlJc w:val="left"/>
      <w:pPr>
        <w:ind w:left="1440" w:hanging="1440"/>
      </w:pPr>
      <w:rPr>
        <w:b w:val="0"/>
        <w:i w:val="0"/>
        <w:vertAlign w:val="baseline"/>
      </w:rPr>
    </w:lvl>
    <w:lvl w:ilvl="6">
      <w:start w:val="1"/>
      <w:numFmt w:val="decimal"/>
      <w:lvlText w:val="%1.%2.%3.%4.%5.%6.%7"/>
      <w:lvlJc w:val="left"/>
      <w:pPr>
        <w:ind w:left="1440" w:hanging="1440"/>
      </w:pPr>
      <w:rPr>
        <w:b w:val="0"/>
        <w:i w:val="0"/>
        <w:vertAlign w:val="baseline"/>
      </w:rPr>
    </w:lvl>
    <w:lvl w:ilvl="7">
      <w:start w:val="1"/>
      <w:numFmt w:val="decimal"/>
      <w:lvlText w:val="%1.%2.%3.%4.%5.%6.%7.%8"/>
      <w:lvlJc w:val="left"/>
      <w:pPr>
        <w:ind w:left="1800" w:hanging="1800"/>
      </w:pPr>
      <w:rPr>
        <w:b w:val="0"/>
        <w:i w:val="0"/>
        <w:vertAlign w:val="baseline"/>
      </w:rPr>
    </w:lvl>
    <w:lvl w:ilvl="8">
      <w:start w:val="1"/>
      <w:numFmt w:val="decimal"/>
      <w:lvlText w:val="%1.%2.%3.%4.%5.%6.%7.%8.%9"/>
      <w:lvlJc w:val="left"/>
      <w:pPr>
        <w:ind w:left="2160" w:hanging="2160"/>
      </w:pPr>
      <w:rPr>
        <w:b w:val="0"/>
        <w:i w:val="0"/>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1069" w:hanging="360"/>
      </w:pPr>
      <w:rPr>
        <w:rFonts w:ascii="Noto Sans Symbols" w:cs="Noto Sans Symbols" w:eastAsia="Noto Sans Symbols" w:hAnsi="Noto Sans Symbols"/>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8">
    <w:lvl w:ilvl="0">
      <w:start w:val="4"/>
      <w:numFmt w:val="decimal"/>
      <w:lvlText w:val="%1"/>
      <w:lvlJc w:val="left"/>
      <w:pPr>
        <w:ind w:left="375" w:hanging="375"/>
      </w:pPr>
      <w:rPr>
        <w:vertAlign w:val="baseline"/>
      </w:rPr>
    </w:lvl>
    <w:lvl w:ilvl="1">
      <w:start w:val="3"/>
      <w:numFmt w:val="decimal"/>
      <w:lvlText w:val="%1.%2"/>
      <w:lvlJc w:val="left"/>
      <w:pPr>
        <w:ind w:left="1830" w:hanging="375"/>
      </w:pPr>
      <w:rPr>
        <w:vertAlign w:val="baseline"/>
      </w:rPr>
    </w:lvl>
    <w:lvl w:ilvl="2">
      <w:start w:val="1"/>
      <w:numFmt w:val="decimal"/>
      <w:lvlText w:val="%1.%2.%3"/>
      <w:lvlJc w:val="left"/>
      <w:pPr>
        <w:ind w:left="3630" w:hanging="720"/>
      </w:pPr>
      <w:rPr>
        <w:vertAlign w:val="baseline"/>
      </w:rPr>
    </w:lvl>
    <w:lvl w:ilvl="3">
      <w:start w:val="1"/>
      <w:numFmt w:val="decimal"/>
      <w:lvlText w:val="%1.%2.%3.%4"/>
      <w:lvlJc w:val="left"/>
      <w:pPr>
        <w:ind w:left="5445" w:hanging="1080"/>
      </w:pPr>
      <w:rPr>
        <w:vertAlign w:val="baseline"/>
      </w:rPr>
    </w:lvl>
    <w:lvl w:ilvl="4">
      <w:start w:val="1"/>
      <w:numFmt w:val="decimal"/>
      <w:lvlText w:val="%1.%2.%3.%4.%5"/>
      <w:lvlJc w:val="left"/>
      <w:pPr>
        <w:ind w:left="6900" w:hanging="1080"/>
      </w:pPr>
      <w:rPr>
        <w:vertAlign w:val="baseline"/>
      </w:rPr>
    </w:lvl>
    <w:lvl w:ilvl="5">
      <w:start w:val="1"/>
      <w:numFmt w:val="decimal"/>
      <w:lvlText w:val="%1.%2.%3.%4.%5.%6"/>
      <w:lvlJc w:val="left"/>
      <w:pPr>
        <w:ind w:left="8715" w:hanging="1440"/>
      </w:pPr>
      <w:rPr>
        <w:vertAlign w:val="baseline"/>
      </w:rPr>
    </w:lvl>
    <w:lvl w:ilvl="6">
      <w:start w:val="1"/>
      <w:numFmt w:val="decimal"/>
      <w:lvlText w:val="%1.%2.%3.%4.%5.%6.%7"/>
      <w:lvlJc w:val="left"/>
      <w:pPr>
        <w:ind w:left="10170" w:hanging="1440"/>
      </w:pPr>
      <w:rPr>
        <w:vertAlign w:val="baseline"/>
      </w:rPr>
    </w:lvl>
    <w:lvl w:ilvl="7">
      <w:start w:val="1"/>
      <w:numFmt w:val="decimal"/>
      <w:lvlText w:val="%1.%2.%3.%4.%5.%6.%7.%8"/>
      <w:lvlJc w:val="left"/>
      <w:pPr>
        <w:ind w:left="11985" w:hanging="1800"/>
      </w:pPr>
      <w:rPr>
        <w:vertAlign w:val="baseline"/>
      </w:rPr>
    </w:lvl>
    <w:lvl w:ilvl="8">
      <w:start w:val="1"/>
      <w:numFmt w:val="decimal"/>
      <w:lvlText w:val="%1.%2.%3.%4.%5.%6.%7.%8.%9"/>
      <w:lvlJc w:val="left"/>
      <w:pPr>
        <w:ind w:left="13800" w:hanging="2160"/>
      </w:pPr>
      <w:rPr>
        <w:vertAlign w:val="baseline"/>
      </w:rPr>
    </w:lvl>
  </w:abstractNum>
  <w:abstractNum w:abstractNumId="9">
    <w:lvl w:ilvl="0">
      <w:start w:val="1"/>
      <w:numFmt w:val="decimal"/>
      <w:lvlText w:val="%1."/>
      <w:lvlJc w:val="left"/>
      <w:pPr>
        <w:ind w:left="720" w:hanging="360"/>
      </w:pPr>
      <w:rPr>
        <w:vertAlign w:val="baseline"/>
      </w:rPr>
    </w:lvl>
    <w:lvl w:ilvl="1">
      <w:start w:val="1"/>
      <w:numFmt w:val="decimal"/>
      <w:lvlText w:val="%1.%2"/>
      <w:lvlJc w:val="left"/>
      <w:pPr>
        <w:ind w:left="780" w:hanging="4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color w:val="auto"/>
      <w:w w:val="100"/>
      <w:position w:val="-1"/>
      <w:sz w:val="24"/>
      <w:szCs w:val="24"/>
      <w:effect w:val="none"/>
      <w:vertAlign w:val="baseline"/>
      <w:cs w:val="0"/>
      <w:em w:val="none"/>
      <w:lang w:bidi="ar-SA" w:eastAsia="ru-RU" w:val="ru-RU"/>
    </w:rPr>
  </w:style>
  <w:style w:type="paragraph" w:styleId="Названиеобъекта">
    <w:name w:val="Название объекта"/>
    <w:basedOn w:val="Обычный"/>
    <w:next w:val="Обычный"/>
    <w:autoRedefine w:val="0"/>
    <w:hidden w:val="0"/>
    <w:qFormat w:val="0"/>
    <w:pPr>
      <w:suppressAutoHyphens w:val="1"/>
      <w:spacing w:after="240" w:line="1" w:lineRule="atLeast"/>
      <w:ind w:left="720" w:leftChars="-1" w:rightChars="0" w:hanging="720" w:firstLineChars="-1"/>
      <w:jc w:val="center"/>
      <w:textDirection w:val="btLr"/>
      <w:textAlignment w:val="top"/>
      <w:outlineLvl w:val="0"/>
    </w:pPr>
    <w:rPr>
      <w:rFonts w:ascii="Times New Roman" w:hAnsi="Times New Roman"/>
      <w:color w:val="auto"/>
      <w:w w:val="100"/>
      <w:position w:val="-1"/>
      <w:sz w:val="32"/>
      <w:szCs w:val="32"/>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hAnsi="Tahoma"/>
      <w:color w:val="000000"/>
      <w:w w:val="87"/>
      <w:position w:val="-1"/>
      <w:sz w:val="16"/>
      <w:szCs w:val="16"/>
      <w:effect w:val="none"/>
      <w:vertAlign w:val="baseline"/>
      <w:cs w:val="0"/>
      <w:em w:val="none"/>
      <w:lang w:bidi="ar-SA" w:eastAsia="ru-RU" w:val="uk-UA"/>
    </w:rPr>
  </w:style>
  <w:style w:type="character" w:styleId="ТекствыноскиЗнак">
    <w:name w:val="Текст выноски Знак"/>
    <w:next w:val="ТекствыноскиЗнак"/>
    <w:autoRedefine w:val="0"/>
    <w:hidden w:val="0"/>
    <w:qFormat w:val="0"/>
    <w:rPr>
      <w:rFonts w:ascii="Tahoma" w:cs="Tahoma" w:hAnsi="Tahoma"/>
      <w:color w:val="000000"/>
      <w:w w:val="87"/>
      <w:position w:val="-1"/>
      <w:sz w:val="16"/>
      <w:szCs w:val="16"/>
      <w:effect w:val="none"/>
      <w:vertAlign w:val="baseline"/>
      <w:cs w:val="0"/>
      <w:em w:val="none"/>
      <w:lang w:eastAsia="ru-RU" w:val="uk-UA"/>
    </w:rPr>
  </w:style>
  <w:style w:type="character" w:styleId="Гиперссылка">
    <w:name w:val="Гиперссылка"/>
    <w:next w:val="Гиперссылка"/>
    <w:autoRedefine w:val="0"/>
    <w:hidden w:val="0"/>
    <w:qFormat w:val="0"/>
    <w:rPr>
      <w:color w:val="0000ff"/>
      <w:w w:val="100"/>
      <w:position w:val="-1"/>
      <w:u w:val="single"/>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eastAsia="ru-RU" w:val="ru-RU"/>
    </w:rPr>
    <w:tblPr>
      <w:tblStyle w:val="Сеткатаблицы"/>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Заголовок1">
    <w:name w:val="Заголовок1"/>
    <w:basedOn w:val="Обычный"/>
    <w:next w:val="Основнойтекст"/>
    <w:autoRedefine w:val="0"/>
    <w:hidden w:val="0"/>
    <w:qFormat w:val="0"/>
    <w:pPr>
      <w:suppressAutoHyphens w:val="0"/>
      <w:spacing w:line="1" w:lineRule="atLeast"/>
      <w:ind w:leftChars="-1" w:rightChars="0" w:firstLineChars="-1"/>
      <w:jc w:val="center"/>
      <w:textDirection w:val="btLr"/>
      <w:textAlignment w:val="top"/>
      <w:outlineLvl w:val="0"/>
    </w:pPr>
    <w:rPr>
      <w:rFonts w:ascii="Times New Roman" w:eastAsia="Times New Roman" w:hAnsi="Times New Roman"/>
      <w:b w:val="1"/>
      <w:bCs w:val="1"/>
      <w:color w:val="auto"/>
      <w:w w:val="100"/>
      <w:position w:val="-1"/>
      <w:sz w:val="24"/>
      <w:szCs w:val="24"/>
      <w:effect w:val="none"/>
      <w:vertAlign w:val="baseline"/>
      <w:cs w:val="0"/>
      <w:em w:val="none"/>
      <w:lang w:bidi="ar-SA" w:eastAsia="zh-CN" w:val="uk-UA"/>
    </w:rPr>
  </w:style>
  <w:style w:type="paragraph" w:styleId="Основнойтекст">
    <w:name w:val="Основной текст"/>
    <w:basedOn w:val="Обычный"/>
    <w:next w:val="Основнойтекст"/>
    <w:autoRedefine w:val="0"/>
    <w:hidden w:val="0"/>
    <w:qFormat w:val="0"/>
    <w:pPr>
      <w:suppressAutoHyphens w:val="1"/>
      <w:spacing w:after="120" w:line="1" w:lineRule="atLeast"/>
      <w:ind w:leftChars="-1" w:rightChars="0" w:firstLineChars="-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ru-RU" w:val="und"/>
    </w:rPr>
  </w:style>
  <w:style w:type="character" w:styleId="ОсновнойтекстЗнак">
    <w:name w:val="Основной текст Знак"/>
    <w:next w:val="ОсновнойтекстЗнак"/>
    <w:autoRedefine w:val="0"/>
    <w:hidden w:val="0"/>
    <w:qFormat w:val="0"/>
    <w:rPr>
      <w:rFonts w:ascii="Times New Roman" w:hAnsi="Times New Roman"/>
      <w:color w:val="000000"/>
      <w:w w:val="87"/>
      <w:position w:val="-1"/>
      <w:sz w:val="28"/>
      <w:szCs w:val="28"/>
      <w:effect w:val="none"/>
      <w:vertAlign w:val="baseline"/>
      <w:cs w:val="0"/>
      <w:em w:val="none"/>
      <w:lang w:eastAsia="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ru-RU" w:val="uk-UA"/>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ru-RU" w:val="uk-UA"/>
    </w:rPr>
  </w:style>
  <w:style w:type="paragraph" w:styleId="ЗнакЗнакЗнакЗнак">
    <w:name w:val="Знак Знак Знак Знак"/>
    <w:basedOn w:val="Обычный"/>
    <w:next w:val="Знак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eastAsia="Times New Roman" w:hAnsi="Verdana"/>
      <w:color w:val="auto"/>
      <w:w w:val="100"/>
      <w:position w:val="-1"/>
      <w:sz w:val="20"/>
      <w:szCs w:val="20"/>
      <w:effect w:val="none"/>
      <w:vertAlign w:val="baseline"/>
      <w:cs w:val="0"/>
      <w:em w:val="none"/>
      <w:lang w:bidi="ar-SA" w:eastAsia="en-US" w:val="en-US"/>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und" w:val="uk-UA"/>
    </w:rPr>
  </w:style>
  <w:style w:type="character" w:styleId="ВерхнийколонтитулЗнак">
    <w:name w:val="Верхний колонтитул Знак"/>
    <w:next w:val="ВерхнийколонтитулЗнак"/>
    <w:autoRedefine w:val="0"/>
    <w:hidden w:val="0"/>
    <w:qFormat w:val="0"/>
    <w:rPr>
      <w:rFonts w:ascii="Times New Roman" w:hAnsi="Times New Roman"/>
      <w:color w:val="000000"/>
      <w:w w:val="87"/>
      <w:position w:val="-1"/>
      <w:sz w:val="28"/>
      <w:szCs w:val="28"/>
      <w:effect w:val="none"/>
      <w:vertAlign w:val="baseline"/>
      <w:cs w:val="0"/>
      <w:em w:val="none"/>
      <w:lang w:val="uk-UA"/>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hAnsi="Times New Roman"/>
      <w:color w:val="000000"/>
      <w:w w:val="87"/>
      <w:position w:val="-1"/>
      <w:sz w:val="28"/>
      <w:szCs w:val="28"/>
      <w:effect w:val="none"/>
      <w:vertAlign w:val="baseline"/>
      <w:cs w:val="0"/>
      <w:em w:val="none"/>
      <w:lang w:bidi="ar-SA" w:eastAsia="und" w:val="uk-UA"/>
    </w:rPr>
  </w:style>
  <w:style w:type="character" w:styleId="НижнийколонтитулЗнак">
    <w:name w:val="Нижний колонтитул Знак"/>
    <w:next w:val="НижнийколонтитулЗнак"/>
    <w:autoRedefine w:val="0"/>
    <w:hidden w:val="0"/>
    <w:qFormat w:val="0"/>
    <w:rPr>
      <w:rFonts w:ascii="Times New Roman" w:hAnsi="Times New Roman"/>
      <w:color w:val="000000"/>
      <w:w w:val="87"/>
      <w:position w:val="-1"/>
      <w:sz w:val="28"/>
      <w:szCs w:val="28"/>
      <w:effect w:val="none"/>
      <w:vertAlign w:val="baseline"/>
      <w:cs w:val="0"/>
      <w:em w:val="none"/>
      <w:lang w:val="uk-UA"/>
    </w:rPr>
  </w:style>
  <w:style w:type="paragraph" w:styleId="docdata,docy,v5,20529,baiaagaaboqcaaadd0waaawftaaaaaaaaaaaaaaaaaaaaaaaaaaaaaaaaaaaaaaaaaaaaaaaaaaaaaaaaaaaaaaaaaaaaaaaaaaaaaaaaaaaaaaaaaaaaaaaaaaaaaaaaaaaaaaaaaaaaaaaaaaaaaaaaaaaaaaaaaaaaaaaaaaaaaaaaaaaaaaaaaaaaaaaaaaaaaaaaaaaaaaaaaaaaaaaaaaaaaaaaaaaaaa">
    <w:name w:val="docdata,docy,v5,20529,baiaagaaboqcaaadd0waaawftaaaaaaaaaaaaaaaaaaaaaaaaaaaaaaaaaaaaaaaaaaaaaaaaaaaaaaaaaaaaaaaaaaaaaaaaaaaaaaaaaaaaaaaaaaaaaaaaaaaaaaaaaaaaaaaaaaaaaaaaaaaaaaaaaaaaaaaaaaaaaaaaaaaaaaaaaaaaaaaaaaaaaaaaaaaaaaaaaaaaaaaaaaaaaaaaaaaaaaaaaaaaaa"/>
    <w:basedOn w:val="Обычный"/>
    <w:next w:val="docdata,docy,v5,20529,baiaagaaboqcaaadd0waaawft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color w:val="auto"/>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UBDNDVy1w/aM233gP+yMjHFEA==">AMUW2mUv1TH1YbjRAU4/2DisvQOM5xpFwx/HeBfxEK+jC/ZxURMqetpSMO3hC4ylhSz9uqTpIp9Z9TqqHywZfuWODWFN1rJA7uENrUdRa2mO/pUL2ykkReHJrbhycOxse6gz+1zjansyRO3suj4Up2phtRKe5Mgg0z/yGD+l7MLwk6Hd+Bi3c5hdgMLDdNlw8IyNFwLD+gzkWsAFmZTGf5N/zOvJsiAuS8ec18x2H2ZBT0vV4gHzAM53GPlrtdBSET6Z8lm2KwWhXgCwoS7QS7mSeiWCWAXIrDa5VHNxPV3il5EwhxbamfSUW0NuDoD9EaJ+sGce5dg0b7LIZ57OMBvee9bOKlyB6STu2Zrkg81yIiBWe699J4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2022-11-18T08:21:00Z</dcterms:created>
  <dc:creator>Пользователь Windows</dc:creator>
</cp:coreProperties>
</file>