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4006458"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 квітня 2023 року                    м. Сквира                            № 23.38-32-VIII</w:t>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49,9999 га на території Сквирської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Тишкевичу Олександру Володимировичу</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hd w:fill="ffffff" w:val="clea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Тишкевича Олександра Володимировича </w:t>
      </w:r>
      <w:r w:rsidDel="00000000" w:rsidR="00000000" w:rsidRPr="00000000">
        <w:rPr>
          <w:rFonts w:ascii="Times New Roman" w:cs="Times New Roman" w:eastAsia="Times New Roman" w:hAnsi="Times New Roman"/>
          <w:sz w:val="28"/>
          <w:szCs w:val="28"/>
          <w:rtl w:val="0"/>
        </w:rPr>
        <w:t xml:space="preserve">вх.№09-2023/286 від 23.03.2023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1. Продати громадянину Тишкевичу Олександру Володимировичу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49,9999 га, кадастровий номер 3224086200:05:007:0006, яка перебуває у нього в постійному користуванні згідно Державного акту на право постійного користування землею серія ІII-КВ №007549, виданого Сквирською районною радою народних депутатів 25 березня 1998 року та знаходиться на території Сквирської міської територіальної громади (с. Рогізна) за нормативною грошовою оцінкою, а саме 1791455,73 грн. (один мільйон сімсот дев`яносто одна тисяча чотириста п`ятдесят п`ять гривень 73 копійки) згідно Витягу із технічної документації про нормативну грошову оцінку земельної ділянки від 22.03.2023, із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розстроченням платежу із сплати ціни земельної ділянки на 10 (десять) років.</w:t>
      </w:r>
    </w:p>
    <w:p w:rsidR="00000000" w:rsidDel="00000000" w:rsidP="00000000" w:rsidRDefault="00000000" w:rsidRPr="00000000" w14:paraId="00000014">
      <w:pPr>
        <w:spacing w:after="0" w:lineRule="auto"/>
        <w:ind w:firstLine="56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1.1. Розрахунок за придбану ділянку здійснюється щороку, рівними частинами з урахуванням індексу інфляції, у місяць, що настає за звітним роком.</w:t>
      </w:r>
    </w:p>
    <w:p w:rsidR="00000000" w:rsidDel="00000000" w:rsidP="00000000" w:rsidRDefault="00000000" w:rsidRPr="00000000" w14:paraId="00000015">
      <w:pPr>
        <w:spacing w:after="0" w:lineRule="auto"/>
        <w:ind w:firstLine="567"/>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1.2. Право власності на земельну ділянку переходить до покупця після сплати першого внеску за договором купівлі-продажу.</w:t>
      </w:r>
    </w:p>
    <w:p w:rsidR="00000000" w:rsidDel="00000000" w:rsidP="00000000" w:rsidRDefault="00000000" w:rsidRPr="00000000" w14:paraId="00000016">
      <w:pPr>
        <w:spacing w:after="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Доручити міському голові укласти договір купівлі-продажу земельної ділянки, зазначеної в п. 1 цього рішення з громадянином Тишкевичем Олександром Володимировичем.</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Припинити право постійного користування землею громадянину Тишкевичу Олександру Володимировичу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49,9999 га, кадастровий номер 3224086200:05:007:0006 після сплати першого платежу та державної реєстрації права власності на земельну ділянку згідно чинного законодавства України.</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Тишкевичу Олександру Володимировичу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Тишкевичу Олександру Володимировичу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AFQ8+e+st6Pt7DHgraF6Unx1Zg==">AMUW2mXH5SBhDx4l9+CtJzt7aW5MwDzozOUd0WC0hTeHwEcXkberaBL5rPZvqLreLa31JKhl1mTbpPqq+RNMci/7A0jFWu83RYMDlcu4c+n7N/isjbRKNacUPaSdMJXupP5Nq2a9EIUE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2023-04-09T16:18:00Z</dcterms:created>
  <dc:creator>User</dc:creator>
</cp:coreProperties>
</file>