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9580" cy="609600"/>
            <wp:effectExtent b="0" l="0" r="0" t="0"/>
            <wp:docPr descr="https://lh3.googleusercontent.com/UnpZOxABpxeEsfT5Y1mN2r7ktFxZ5fQySpCpoPOKCLRNFTjkgOh4uOj1wVaSkKAcqJx5eFSrgE4U-whMxLxrsz67C714oTNq5G-PedD2jtMt25zGGG6uDnUtZ3Pekw" id="1027" name="image1.png"/>
            <a:graphic>
              <a:graphicData uri="http://schemas.openxmlformats.org/drawingml/2006/picture">
                <pic:pic>
                  <pic:nvPicPr>
                    <pic:cNvPr descr="https://lh3.googleusercontent.com/UnpZOxABpxeEsfT5Y1mN2r7ktFxZ5fQySpCpoPOKCLRNFTjkgOh4uOj1wVaSkKAcqJx5eFSrgE4U-whMxLxrsz67C714oTNq5G-PedD2jtMt25zGGG6uDnUtZ3Pekw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28 березня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2023 року              м. Сквира                            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50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-31-VIII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38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.669291338583093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Програми виконання судових рішень та виконавчих документів на 2023-2025 роки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подання Сквирської міської голови про внесення на чергове засідання сесії Сквирської міської ради розгляд питання «Про затвердження Програми виконання судових рішень та виконавчих документів на 2023-2025 роки», керуючись ст. ст. 25, 26, 43, 59 Закону України «Про місцеве самоврядування в Україні», з метою забезпечення виконання грошових зобов’язань, які виникли на підставі судових рішень про стягнення коштів з бюджету Сквирської міської територіальної громади, боржниками по яких є головні розпорядники бюджетних коштів Сквирської міської ради, відповідно до Бюджетного Кодексу України, постанови Кабінету Міністрів України від 03.08.2011 р. №845 «Про затвердження Порядку виконання рішень про стягнення коштів державного та місцевого бюджетів або боржників» (зі змінами), враховуючи рекомендації та висновки постійної комісії Сквирської міської ради з питань планування бюджету та фінансів, соціально-економічного розвитку та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питань регламенту, депутатської етики, законності та правопорядку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Затвердити Програму виконання судових рішень та виконавчих документів на 2023-2025 роки згідно з додатком.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Обсяг фінансування Програми виконання судових рішень та виконавчих документів на 2023-2025 роки визначається рішенням сесії міської ради «Про бюджет Сквирської міської територіальної громади» на відповідний бюджетний рік.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hd w:fill="ffffff" w:val="clear"/>
        <w:tabs>
          <w:tab w:val="left" w:leader="none" w:pos="990"/>
        </w:tabs>
        <w:spacing w:after="0" w:before="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Контроль за виконанням рішення покласти на постійну комісію Сквирської міської ради з питань бюджету та фінансів, соціально-економічного розвитку та постійну комісію Сквирської міської ради з питань регламенту, депутатської етики, законності та правопорядку.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38" w:w="11906" w:orient="portrait"/>
          <w:pgMar w:bottom="1134" w:top="992.1259842519685" w:left="1700.7874015748032" w:right="577.2047244094489" w:header="0" w:footer="3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</w:t>
      </w:r>
      <w:bookmarkStart w:colFirst="0" w:colLast="0" w:name="bookmark=id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</w:t>
        <w:tab/>
        <w:t xml:space="preserve">     </w:t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28.03.2023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50-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31-VIII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виконання судових рішень та виконавчих документів на 2023-2025 роки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Паспорт Програми</w:t>
      </w:r>
      <w:r w:rsidDel="00000000" w:rsidR="00000000" w:rsidRPr="00000000">
        <w:rPr>
          <w:rtl w:val="0"/>
        </w:rPr>
      </w:r>
    </w:p>
    <w:tbl>
      <w:tblPr>
        <w:tblStyle w:val="Table1"/>
        <w:tblW w:w="969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58"/>
        <w:gridCol w:w="3715"/>
        <w:gridCol w:w="5318"/>
        <w:tblGridChange w:id="0">
          <w:tblGrid>
            <w:gridCol w:w="658"/>
            <w:gridCol w:w="3715"/>
            <w:gridCol w:w="531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Назва Програми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Програма виконання судових рішень та виконавчих документів на 2023-2025 роки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Ініціатор розроблення Програми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з питань юридичного забезпечення ради та діловодства Сквирської міської ради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Розробник Програми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з питань юридичного забезпечення ради та діловодства Сквирської міської ради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Відповідальний виконавець Програми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оловні розпорядники бюджетних коштів, визначені додатком № 3 до рішення сесії Сквирської міської ради «Про бюджет Сквирської міської територіальної громади» на відповідний рік.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Учасники Програми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оловні розпорядники бюджетних коштів, визначені додатком № 3 до рішення сесії Сквирської міської ради «Про бюджет Сквирської міської територіальної громади» на відповідний рік.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Термін реалізації Програми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2023-2025 роки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Загальний обсяг фінансових ресурсів, необхідних для реалізації Програми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 межах асигнувань, передбачених бюджетом Сквирської міської територіальної громади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Очікувані результати виконання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Зменшення негативних наслідків невиконання судових рішень, затримка видатків бюджету Сквирської міської територіальної громади внаслідок блокування рахунків, додаткові витрати бюджету внаслідок накладання штрафних санкцій, стягнення виконавчого збору тощо.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Забезпечення виконання рішень судів про стягнення коштів з бюджету Сквирської міської територіальної громади, боржником по яких є Сквирська міська рада та головні розпорядники бюджетних коштів. Відновлення проведення платежів по незахищених статтях.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Ключові показники ефективності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2"/>
              </w:tabs>
              <w:spacing w:after="0" w:before="0" w:line="240" w:lineRule="auto"/>
              <w:ind w:left="39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кількість виконаних рішень суду,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2"/>
              </w:tabs>
              <w:spacing w:after="0" w:before="0" w:line="240" w:lineRule="auto"/>
              <w:ind w:left="39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кількість фінансових операцій, які стали можливими до сплати в результаті виконання Програми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Загальний обсяг фінансування 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2"/>
              </w:tabs>
              <w:spacing w:after="0" w:before="0" w:line="240" w:lineRule="auto"/>
              <w:ind w:left="39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0,0 тис. грн</w:t>
            </w:r>
          </w:p>
        </w:tc>
      </w:tr>
    </w:tbl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Визначення проблеми, на розв’язання якої спрямована Програма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Стаття 129-1 Конституції України встановлює, що судові рішення ухвалюються іменем України та є обов'язковими до виконання.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Програма для забезпечення виконання судових рішень на 2023-2025 роки (далі - Програма) розроблена з метою виконання судових рішень, боржником по яких є Сквирська міська рада та головні розпорядники бюджетних коштів.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Дослідження та аналіз</w:t>
      </w:r>
      <w:bookmarkStart w:colFirst="0" w:colLast="0" w:name="bookmark=id.tyjcwt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3.1. Оцінка поточної ситуації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Нормами процесуального законодавства передбачено, що судові рішення, що набрали законної сили, обов'язкові для всіх органів державної влади і органів місцевого самоврядування, підприємств, установ, організацій, посадових чи службових осіб та громадян і підлягають виконанню на всій території України.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Враховуючи відсутність бюджетних призначень на виконання рішень суду, виникла необхідність прийняття Програми для забезпечення виконання судових рішень на 2023-2025 роки.</w:t>
      </w:r>
      <w:bookmarkStart w:colFirst="0" w:colLast="0" w:name="bookmark=id.3dy6vkm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3.2. Аналіз законодавчої бази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Правовою основою Програми є Конституція України, Бюджетний кодекс України, Закони України “Про місцеве самоврядування в Україні”, “Про виконавче провадження”, постанова Кабінету Міністрів України від 03.08.2011 року № 845 “Про затвердження Порядку виконання рішень про стягнення коштів державного та місцевого бюджетів або боржників”, зі змінами.</w:t>
      </w:r>
      <w:bookmarkStart w:colFirst="0" w:colLast="0" w:name="bookmark=id.1t3h5sf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Мета та заходи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Метою цієї Програми є забезпечення виконання грошових зобов’язань, які виникли на підставі судових рішень про стягнення коштів з бюджету Сквирської міської територіальної громади, боржником по яких є Сквирська міська рада та головні розпорядники бюджетних коштів.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Завданням Програми є вирішення питання щодо погашення заборгованості за судовими рішеннями про стягнення коштів з бюджету Сквирської міської територіальної громади, боржниками по яких є Сквирська міська рада та головні розпорядники бюджетних коштів.</w:t>
      </w:r>
      <w:bookmarkStart w:colFirst="0" w:colLast="0" w:name="bookmark=id.4d34og8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Заходи Програми: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Погашення заборгованості за судовими рішеннями про стягнення коштів з бюджету Сквирської міської територіальної громади.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Оплата виконавчого збору за примусове виконання рішення суду, штрафів, додаткових витрат, які виникли внаслідок несвоєчасного виконання чи невиконання рішення суду, тощо.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Оплата судового збору.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Фінансове забезпечення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Джерелом фінансування Програми є бюджет Сквирської міської територіальної громади.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Фінансування Програми здійснюється в межах асигнувань, передбачених бюджетом Сквирської міської територіальної громади на зазначену мету.</w:t>
      </w:r>
    </w:p>
    <w:bookmarkStart w:colFirst="0" w:colLast="0" w:name="bookmark=id.2s8eyo1" w:id="8"/>
    <w:bookmarkEnd w:id="8"/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 Очікувані результати від реалізації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Реалізація Програми надасть можливість: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зменшити негативні наслідки невиконання судових рішень (блокування рахунків, накладення штрафів, тощо);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забезпечити виконання судових рішень про стягнення коштів з бюджету Сквирської міської територіальної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громади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  <w:bookmarkStart w:colFirst="0" w:colLast="0" w:name="bookmark=id.17dp8vu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 Координація та контроль за ходом виконання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Виконання Програми здійснюється шляхом реалізації її заходів.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Головний розпорядник бюджетних коштів забезпечує реалізацію заходів Програми в повному обсязі та у визначені терміни.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та звітування за використанням бюджетних коштів, спрямованих на забезпечення виконання Програми, здійснюється в порядку, встановленому бюджетним законодавством України.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8. Прогнозоване ресурсне забезпечення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17"/>
        <w:gridCol w:w="1799"/>
        <w:gridCol w:w="1769"/>
        <w:gridCol w:w="1769"/>
        <w:tblGridChange w:id="0">
          <w:tblGrid>
            <w:gridCol w:w="4517"/>
            <w:gridCol w:w="1799"/>
            <w:gridCol w:w="1769"/>
            <w:gridCol w:w="176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Ключові індикатори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2023 рік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2024 рік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2025 рік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Сума заборгованості, що підлягає безспірному списанню відповідно до рішень суду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85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0,0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тис. грн.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85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0,0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тис. грн.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85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0,0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тис. грн.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Сума судових витрат, виконавчого збору, штрафів та додаткових витрат, які виникли внаслідок несвоєчасного виконання чи невиконання рішення, та підлягають відшкодуванню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50,0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тис. грн.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50,0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тис. грн.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50,0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тис. грн.</w:t>
            </w:r>
          </w:p>
        </w:tc>
      </w:tr>
    </w:tbl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юридичного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забезпечення ради та діловодства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</w:t>
        <w:tab/>
        <w:tab/>
        <w:t xml:space="preserve">                              </w:t>
        <w:tab/>
        <w:t xml:space="preserve">Ірина КВАША</w:t>
      </w: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992.1259842519685" w:left="1700.7874015748032" w:right="718.937007874016" w:header="0" w:footer="3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Georgia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-"/>
      <w:lvlJc w:val="left"/>
      <w:pPr>
        <w:ind w:left="1287" w:hanging="360.0000000000002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987" w:hanging="4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uk-UA" w:eastAsia="uk-UA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66cc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Основнойтекст_">
    <w:name w:val="Основной текст_"/>
    <w:next w:val="Основнойтекст_"/>
    <w:autoRedefine w:val="0"/>
    <w:hidden w:val="0"/>
    <w:qFormat w:val="0"/>
    <w:rPr>
      <w:rFonts w:ascii="Times New Roman" w:cs="Times New Roman" w:eastAsia="Times New Roman" w:hAnsi="Times New Roman"/>
      <w:spacing w:val="5"/>
      <w:w w:val="100"/>
      <w:position w:val="-1"/>
      <w:sz w:val="21"/>
      <w:szCs w:val="21"/>
      <w:u w:val="none"/>
      <w:effect w:val="none"/>
      <w:vertAlign w:val="baseline"/>
      <w:cs w:val="0"/>
      <w:em w:val="none"/>
      <w:lang/>
    </w:rPr>
  </w:style>
  <w:style w:type="character" w:styleId="Основнойтекст+Интервал0pt">
    <w:name w:val="Основной текст + Интервал 0 pt"/>
    <w:next w:val="Основнойтекст+Интервал0pt"/>
    <w:autoRedefine w:val="0"/>
    <w:hidden w:val="0"/>
    <w:qFormat w:val="0"/>
    <w:rPr>
      <w:rFonts w:ascii="Times New Roman" w:cs="Times New Roman" w:eastAsia="Times New Roman" w:hAnsi="Times New Roman"/>
      <w:color w:val="000000"/>
      <w:spacing w:val="15"/>
      <w:w w:val="100"/>
      <w:position w:val="0"/>
      <w:sz w:val="21"/>
      <w:szCs w:val="21"/>
      <w:u w:val="none"/>
      <w:effect w:val="none"/>
      <w:vertAlign w:val="baseline"/>
      <w:cs w:val="0"/>
      <w:em w:val="none"/>
      <w:lang w:bidi="uk-UA" w:eastAsia="uk-UA" w:val="uk-UA"/>
    </w:rPr>
  </w:style>
  <w:style w:type="character" w:styleId="Основнойтекст+11pt;Курсив;Интервал0pt">
    <w:name w:val="Основной текст + 11 pt;Курсив;Интервал 0 pt"/>
    <w:next w:val="Основнойтекст+11pt;Курсив;Интервал0pt"/>
    <w:autoRedefine w:val="0"/>
    <w:hidden w:val="0"/>
    <w:qFormat w:val="0"/>
    <w:rPr>
      <w:rFonts w:ascii="Times New Roman" w:cs="Times New Roman" w:eastAsia="Times New Roman" w:hAnsi="Times New Roman"/>
      <w:i w:val="1"/>
      <w:iCs w:val="1"/>
      <w:color w:val="000000"/>
      <w:spacing w:val="-12"/>
      <w:w w:val="100"/>
      <w:position w:val="0"/>
      <w:sz w:val="22"/>
      <w:szCs w:val="22"/>
      <w:u w:val="none"/>
      <w:effect w:val="none"/>
      <w:vertAlign w:val="baseline"/>
      <w:cs w:val="0"/>
      <w:em w:val="none"/>
      <w:lang w:bidi="uk-UA" w:eastAsia="uk-UA" w:val="uk-UA"/>
    </w:rPr>
  </w:style>
  <w:style w:type="character" w:styleId="Основнойтекст+16pt;Курсив;Интервал0pt">
    <w:name w:val="Основной текст + 16 pt;Курсив;Интервал 0 pt"/>
    <w:next w:val="Основнойтекст+16pt;Курсив;Интервал0pt"/>
    <w:autoRedefine w:val="0"/>
    <w:hidden w:val="0"/>
    <w:qFormat w:val="0"/>
    <w:rPr>
      <w:rFonts w:ascii="Times New Roman" w:cs="Times New Roman" w:eastAsia="Times New Roman" w:hAnsi="Times New Roman"/>
      <w:i w:val="1"/>
      <w:iCs w:val="1"/>
      <w:color w:val="000000"/>
      <w:spacing w:val="0"/>
      <w:w w:val="100"/>
      <w:position w:val="0"/>
      <w:sz w:val="32"/>
      <w:szCs w:val="32"/>
      <w:u w:val="none"/>
      <w:effect w:val="none"/>
      <w:vertAlign w:val="baseline"/>
      <w:cs w:val="0"/>
      <w:em w:val="none"/>
      <w:lang w:bidi="uk-UA" w:eastAsia="uk-UA" w:val="uk-UA"/>
    </w:rPr>
  </w:style>
  <w:style w:type="character" w:styleId="Основнойтекст(2)_">
    <w:name w:val="Основной текст (2)_"/>
    <w:next w:val="Основнойтекст(2)_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spacing w:val="5"/>
      <w:w w:val="100"/>
      <w:position w:val="-1"/>
      <w:sz w:val="21"/>
      <w:szCs w:val="21"/>
      <w:u w:val="none"/>
      <w:effect w:val="none"/>
      <w:vertAlign w:val="baseline"/>
      <w:cs w:val="0"/>
      <w:em w:val="none"/>
      <w:lang/>
    </w:rPr>
  </w:style>
  <w:style w:type="character" w:styleId="Основнойтекст2">
    <w:name w:val="Основной текст2"/>
    <w:next w:val="Основнойтекст2"/>
    <w:autoRedefine w:val="0"/>
    <w:hidden w:val="0"/>
    <w:qFormat w:val="0"/>
    <w:rPr>
      <w:rFonts w:ascii="Times New Roman" w:cs="Times New Roman" w:eastAsia="Times New Roman" w:hAnsi="Times New Roman"/>
      <w:color w:val="000000"/>
      <w:spacing w:val="5"/>
      <w:w w:val="100"/>
      <w:position w:val="0"/>
      <w:sz w:val="21"/>
      <w:szCs w:val="21"/>
      <w:u w:val="none"/>
      <w:effect w:val="none"/>
      <w:vertAlign w:val="baseline"/>
      <w:cs w:val="0"/>
      <w:em w:val="none"/>
      <w:lang w:bidi="uk-UA" w:eastAsia="uk-UA" w:val="uk-UA"/>
    </w:rPr>
  </w:style>
  <w:style w:type="character" w:styleId="Заголовок№1_">
    <w:name w:val="Заголовок №1_"/>
    <w:next w:val="Заголовок№1_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spacing w:val="5"/>
      <w:w w:val="100"/>
      <w:position w:val="-1"/>
      <w:sz w:val="21"/>
      <w:szCs w:val="21"/>
      <w:u w:val="none"/>
      <w:effect w:val="none"/>
      <w:vertAlign w:val="baseline"/>
      <w:cs w:val="0"/>
      <w:em w:val="none"/>
      <w:lang/>
    </w:rPr>
  </w:style>
  <w:style w:type="character" w:styleId="Подписьктаблице_">
    <w:name w:val="Подпись к таблице_"/>
    <w:next w:val="Подписьктаблице_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spacing w:val="5"/>
      <w:w w:val="100"/>
      <w:position w:val="-1"/>
      <w:sz w:val="21"/>
      <w:szCs w:val="21"/>
      <w:u w:val="none"/>
      <w:effect w:val="none"/>
      <w:vertAlign w:val="baseline"/>
      <w:cs w:val="0"/>
      <w:em w:val="none"/>
      <w:lang/>
    </w:rPr>
  </w:style>
  <w:style w:type="character" w:styleId="Основнойтекст+9;5pt;Интервал0pt">
    <w:name w:val="Основной текст + 9;5 pt;Интервал 0 pt"/>
    <w:next w:val="Основнойтекст+9;5pt;Интервал0pt"/>
    <w:autoRedefine w:val="0"/>
    <w:hidden w:val="0"/>
    <w:qFormat w:val="0"/>
    <w:rPr>
      <w:rFonts w:ascii="Times New Roman" w:cs="Times New Roman" w:eastAsia="Times New Roman" w:hAnsi="Times New Roman"/>
      <w:color w:val="000000"/>
      <w:spacing w:val="0"/>
      <w:w w:val="100"/>
      <w:position w:val="0"/>
      <w:sz w:val="19"/>
      <w:szCs w:val="19"/>
      <w:u w:val="none"/>
      <w:effect w:val="none"/>
      <w:vertAlign w:val="baseline"/>
      <w:cs w:val="0"/>
      <w:em w:val="none"/>
      <w:lang w:bidi="uk-UA" w:eastAsia="uk-UA" w:val="uk-UA"/>
    </w:rPr>
  </w:style>
  <w:style w:type="character" w:styleId="Основнойтекст+CordiaUPC;12pt;Полужирный;Интервал0pt">
    <w:name w:val="Основной текст + CordiaUPC;12 pt;Полужирный;Интервал 0 pt"/>
    <w:next w:val="Основнойтекст+CordiaUPC;12pt;Полужирный;Интервал0pt"/>
    <w:autoRedefine w:val="0"/>
    <w:hidden w:val="0"/>
    <w:qFormat w:val="0"/>
    <w:rPr>
      <w:rFonts w:ascii="CordiaUPC" w:cs="CordiaUPC" w:eastAsia="CordiaUPC" w:hAnsi="CordiaUPC"/>
      <w:b w:val="1"/>
      <w:bCs w:val="1"/>
      <w:color w:val="000000"/>
      <w:spacing w:val="0"/>
      <w:w w:val="100"/>
      <w:position w:val="0"/>
      <w:sz w:val="24"/>
      <w:szCs w:val="24"/>
      <w:u w:val="none"/>
      <w:effect w:val="none"/>
      <w:vertAlign w:val="baseline"/>
      <w:cs w:val="0"/>
      <w:em w:val="none"/>
      <w:lang w:bidi="uk-UA" w:eastAsia="uk-UA" w:val="uk-UA"/>
    </w:rPr>
  </w:style>
  <w:style w:type="character" w:styleId="Основнойтекст+7;5pt;Интервал0pt">
    <w:name w:val="Основной текст + 7;5 pt;Интервал 0 pt"/>
    <w:next w:val="Основнойтекст+7;5pt;Интервал0pt"/>
    <w:autoRedefine w:val="0"/>
    <w:hidden w:val="0"/>
    <w:qFormat w:val="0"/>
    <w:rPr>
      <w:rFonts w:ascii="Times New Roman" w:cs="Times New Roman" w:eastAsia="Times New Roman" w:hAnsi="Times New Roman"/>
      <w:color w:val="000000"/>
      <w:spacing w:val="4"/>
      <w:w w:val="100"/>
      <w:position w:val="0"/>
      <w:sz w:val="15"/>
      <w:szCs w:val="15"/>
      <w:u w:val="none"/>
      <w:effect w:val="none"/>
      <w:vertAlign w:val="baseline"/>
      <w:cs w:val="0"/>
      <w:em w:val="none"/>
      <w:lang w:bidi="uk-UA" w:eastAsia="uk-UA" w:val="uk-UA"/>
    </w:rPr>
  </w:style>
  <w:style w:type="character" w:styleId="Подписьктаблице0">
    <w:name w:val="Подпись к таблице"/>
    <w:next w:val="Подписьктаблице0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color w:val="000000"/>
      <w:spacing w:val="5"/>
      <w:w w:val="100"/>
      <w:position w:val="0"/>
      <w:sz w:val="21"/>
      <w:szCs w:val="21"/>
      <w:u w:val="single"/>
      <w:effect w:val="none"/>
      <w:vertAlign w:val="baseline"/>
      <w:cs w:val="0"/>
      <w:em w:val="none"/>
      <w:lang w:bidi="uk-UA" w:eastAsia="uk-UA" w:val="uk-UA"/>
    </w:rPr>
  </w:style>
  <w:style w:type="character" w:styleId="Основнойтекст+Курсив;Интервал0pt1">
    <w:name w:val="Основной текст + Курсив;Интервал 0 pt"/>
    <w:next w:val="Основнойтекст+Курсив;Интервал0pt1"/>
    <w:autoRedefine w:val="0"/>
    <w:hidden w:val="0"/>
    <w:qFormat w:val="0"/>
    <w:rPr>
      <w:rFonts w:ascii="Times New Roman" w:cs="Times New Roman" w:eastAsia="Times New Roman" w:hAnsi="Times New Roman"/>
      <w:i w:val="1"/>
      <w:iCs w:val="1"/>
      <w:color w:val="000000"/>
      <w:spacing w:val="7"/>
      <w:w w:val="100"/>
      <w:position w:val="0"/>
      <w:sz w:val="21"/>
      <w:szCs w:val="21"/>
      <w:u w:val="none"/>
      <w:effect w:val="none"/>
      <w:vertAlign w:val="baseline"/>
      <w:cs w:val="0"/>
      <w:em w:val="none"/>
      <w:lang w:bidi="uk-UA" w:eastAsia="uk-UA" w:val="uk-UA"/>
    </w:rPr>
  </w:style>
  <w:style w:type="character" w:styleId="Основнойтекст+Курсив;Интервал0pt">
    <w:name w:val="Основной текст + Курсив;Интервал 0 pt"/>
    <w:next w:val="Основнойтекст+Курсив;Интервал0pt"/>
    <w:autoRedefine w:val="0"/>
    <w:hidden w:val="0"/>
    <w:qFormat w:val="0"/>
    <w:rPr>
      <w:rFonts w:ascii="Times New Roman" w:cs="Times New Roman" w:eastAsia="Times New Roman" w:hAnsi="Times New Roman"/>
      <w:i w:val="1"/>
      <w:iCs w:val="1"/>
      <w:color w:val="000000"/>
      <w:spacing w:val="7"/>
      <w:w w:val="100"/>
      <w:position w:val="0"/>
      <w:sz w:val="21"/>
      <w:szCs w:val="21"/>
      <w:u w:val="single"/>
      <w:effect w:val="none"/>
      <w:vertAlign w:val="baseline"/>
      <w:cs w:val="0"/>
      <w:em w:val="none"/>
      <w:lang w:bidi="uk-UA" w:eastAsia="uk-UA" w:val="uk-UA"/>
    </w:rPr>
  </w:style>
  <w:style w:type="paragraph" w:styleId="Основнойтекст1">
    <w:name w:val="Основной текст1"/>
    <w:basedOn w:val="Обычный"/>
    <w:next w:val="Основнойтекст1"/>
    <w:autoRedefine w:val="0"/>
    <w:hidden w:val="0"/>
    <w:qFormat w:val="0"/>
    <w:pPr>
      <w:widowControl w:val="0"/>
      <w:shd w:color="auto" w:fill="ffffff" w:val="clear"/>
      <w:suppressAutoHyphens w:val="1"/>
      <w:spacing w:after="1140" w:line="274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0"/>
      <w:spacing w:val="5"/>
      <w:w w:val="100"/>
      <w:position w:val="-1"/>
      <w:sz w:val="21"/>
      <w:szCs w:val="21"/>
      <w:u w:val="none"/>
      <w:effect w:val="none"/>
      <w:vertAlign w:val="baseline"/>
      <w:cs w:val="0"/>
      <w:em w:val="none"/>
      <w:lang w:bidi="uk-UA" w:eastAsia="uk-UA" w:val="uk-UA"/>
    </w:rPr>
  </w:style>
  <w:style w:type="paragraph" w:styleId="Основнойтекст(2)">
    <w:name w:val="Основной текст (2)"/>
    <w:basedOn w:val="Обычный"/>
    <w:next w:val="Основнойтекст(2)"/>
    <w:autoRedefine w:val="0"/>
    <w:hidden w:val="0"/>
    <w:qFormat w:val="0"/>
    <w:pPr>
      <w:widowControl w:val="0"/>
      <w:shd w:color="auto" w:fill="ffffff" w:val="clear"/>
      <w:suppressAutoHyphens w:val="1"/>
      <w:spacing w:after="120" w:before="1140" w:line="0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color w:val="000000"/>
      <w:spacing w:val="5"/>
      <w:w w:val="100"/>
      <w:position w:val="-1"/>
      <w:sz w:val="21"/>
      <w:szCs w:val="21"/>
      <w:u w:val="none"/>
      <w:effect w:val="none"/>
      <w:vertAlign w:val="baseline"/>
      <w:cs w:val="0"/>
      <w:em w:val="none"/>
      <w:lang w:bidi="uk-UA" w:eastAsia="uk-UA" w:val="uk-UA"/>
    </w:rPr>
  </w:style>
  <w:style w:type="paragraph" w:styleId="Заголовок№1">
    <w:name w:val="Заголовок №1"/>
    <w:basedOn w:val="Обычный"/>
    <w:next w:val="Заголовок№1"/>
    <w:autoRedefine w:val="0"/>
    <w:hidden w:val="0"/>
    <w:qFormat w:val="0"/>
    <w:pPr>
      <w:widowControl w:val="0"/>
      <w:shd w:color="auto" w:fill="ffffff" w:val="clear"/>
      <w:suppressAutoHyphens w:val="1"/>
      <w:spacing w:line="269" w:lineRule="atLeast"/>
      <w:ind w:leftChars="-1" w:rightChars="0" w:firstLine="70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color w:val="000000"/>
      <w:spacing w:val="5"/>
      <w:w w:val="100"/>
      <w:position w:val="-1"/>
      <w:sz w:val="21"/>
      <w:szCs w:val="21"/>
      <w:u w:val="none"/>
      <w:effect w:val="none"/>
      <w:vertAlign w:val="baseline"/>
      <w:cs w:val="0"/>
      <w:em w:val="none"/>
      <w:lang w:bidi="uk-UA" w:eastAsia="uk-UA" w:val="uk-UA"/>
    </w:rPr>
  </w:style>
  <w:style w:type="paragraph" w:styleId="Подписьктаблице">
    <w:name w:val="Подпись к таблице"/>
    <w:basedOn w:val="Обычный"/>
    <w:next w:val="Подписьктаблице"/>
    <w:autoRedefine w:val="0"/>
    <w:hidden w:val="0"/>
    <w:qFormat w:val="0"/>
    <w:pPr>
      <w:widowControl w:val="0"/>
      <w:shd w:color="auto" w:fill="ffffff" w:val="clear"/>
      <w:suppressAutoHyphens w:val="1"/>
      <w:spacing w:line="0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color w:val="000000"/>
      <w:spacing w:val="5"/>
      <w:w w:val="100"/>
      <w:position w:val="-1"/>
      <w:sz w:val="21"/>
      <w:szCs w:val="21"/>
      <w:u w:val="none"/>
      <w:effect w:val="none"/>
      <w:vertAlign w:val="baseline"/>
      <w:cs w:val="0"/>
      <w:em w:val="none"/>
      <w:lang w:bidi="uk-UA" w:eastAsia="uk-UA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axNNVfU6tAbWUbuitd7KzrHRFQ==">AMUW2mXsZCau2BYuR2Rj8xIulhN5Ku5nqqXbuVJkSfS8eqw3oXIDigc6eUb54OudIKFR/62hKH7j4EICsK/ivVDZow55xF69uvwik03XKeluAkOAj7GvJFHBbEoclTDnS4qatZv7cmcFEEaR3tvyCkHMUTyLnULSCng+I3iW0SLXp8nWAL6ZWjF0Zv/fPS/5xJaQCH2dSlky7Hs8lagc0e8+z8mxen4aVROrm0fmo6g5I1Fvs3+KPqdQyzR/271Kilft/OyFS7ki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2023-03-20T07:54:00Z</dcterms:created>
  <dc:creator>Шарлай Олександр Федорович</dc:creator>
</cp:coreProperties>
</file>