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9B5" w:rsidRPr="00F83EDC" w:rsidRDefault="007A69B5" w:rsidP="007A69B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30612" r:id="rId7"/>
        </w:object>
      </w:r>
    </w:p>
    <w:p w:rsidR="007A69B5" w:rsidRPr="001A67D7" w:rsidRDefault="007A69B5" w:rsidP="007A69B5">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7A69B5" w:rsidRDefault="007A69B5" w:rsidP="007A69B5">
      <w:pPr>
        <w:pStyle w:val="a5"/>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rsidR="007A69B5" w:rsidRPr="00D75A1B" w:rsidRDefault="007A69B5" w:rsidP="007A69B5">
      <w:pPr>
        <w:pStyle w:val="a5"/>
        <w:jc w:val="center"/>
        <w:rPr>
          <w:b/>
          <w:sz w:val="20"/>
          <w:szCs w:val="20"/>
        </w:rPr>
      </w:pPr>
    </w:p>
    <w:p w:rsidR="007A69B5" w:rsidRPr="00A35E49" w:rsidRDefault="007A69B5" w:rsidP="007A69B5">
      <w:pPr>
        <w:rPr>
          <w:rFonts w:ascii="Times New Roman" w:eastAsia="Times New Roman" w:hAnsi="Times New Roman"/>
          <w:b/>
          <w:sz w:val="28"/>
          <w:szCs w:val="28"/>
        </w:rPr>
      </w:pPr>
      <w:r>
        <w:rPr>
          <w:rFonts w:ascii="Times New Roman" w:eastAsia="Times New Roman" w:hAnsi="Times New Roman"/>
          <w:b/>
          <w:sz w:val="28"/>
          <w:szCs w:val="28"/>
        </w:rPr>
        <w:t>від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25.</w:t>
      </w:r>
      <w:r>
        <w:rPr>
          <w:rFonts w:ascii="Times New Roman" w:eastAsia="Times New Roman" w:hAnsi="Times New Roman"/>
          <w:b/>
          <w:sz w:val="28"/>
          <w:szCs w:val="28"/>
        </w:rPr>
        <w:t>37</w:t>
      </w:r>
      <w:r>
        <w:rPr>
          <w:rFonts w:ascii="Times New Roman" w:eastAsia="Times New Roman" w:hAnsi="Times New Roman"/>
          <w:b/>
          <w:sz w:val="28"/>
          <w:szCs w:val="28"/>
        </w:rPr>
        <w:t>-33-</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4748DC" w:rsidRDefault="007A69B5">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затвердження умов проведення земельних торгів </w:t>
      </w:r>
    </w:p>
    <w:p w:rsidR="004748DC" w:rsidRDefault="007A69B5">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формі аукціону з продажу прав оренди </w:t>
      </w:r>
    </w:p>
    <w:p w:rsidR="004748DC" w:rsidRDefault="007A69B5">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 земельні ділянки комунальної власності </w:t>
      </w:r>
    </w:p>
    <w:p w:rsidR="004748DC" w:rsidRDefault="004748DC">
      <w:pPr>
        <w:spacing w:after="0"/>
        <w:jc w:val="both"/>
        <w:rPr>
          <w:rFonts w:ascii="Times New Roman" w:eastAsia="Times New Roman" w:hAnsi="Times New Roman" w:cs="Times New Roman"/>
          <w:sz w:val="28"/>
          <w:szCs w:val="28"/>
        </w:rPr>
      </w:pPr>
    </w:p>
    <w:p w:rsidR="004748DC" w:rsidRDefault="007A69B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забезпечення проведення земельних торгів, відповідно до ст. 12, частини 1 ст. 122, ст.ст. 134-139 Земельного кодексу України, статті 16 Закону України «Про оренду землі», Закону України «Про внесення змін до деяких законодавчих актів України щодо прода</w:t>
      </w:r>
      <w:r>
        <w:rPr>
          <w:rFonts w:ascii="Times New Roman" w:eastAsia="Times New Roman" w:hAnsi="Times New Roman" w:cs="Times New Roman"/>
          <w:sz w:val="28"/>
          <w:szCs w:val="28"/>
        </w:rPr>
        <w:t>жу земельних ділянок та набуття права користування ними через електронні аукціони», постанови КМУ №1013 від 22.09.2021 «Деякі питання підготовки до проведення та проведення земельних торгів для продажу земельних ділянок та набуття прав користування ними (о</w:t>
      </w:r>
      <w:r>
        <w:rPr>
          <w:rFonts w:ascii="Times New Roman" w:eastAsia="Times New Roman" w:hAnsi="Times New Roman" w:cs="Times New Roman"/>
          <w:sz w:val="28"/>
          <w:szCs w:val="28"/>
        </w:rPr>
        <w:t>ренди, суперфіцію, емфітевзису)», керуючись статтями 26, 42, 59 Закону України «Про місцеве самоврядування в Україні», Сквирська міська рада</w:t>
      </w:r>
    </w:p>
    <w:p w:rsidR="004748DC" w:rsidRDefault="007A69B5">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4748DC" w:rsidRDefault="007A69B5">
      <w:pPr>
        <w:spacing w:after="0"/>
        <w:ind w:left="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Визначити Сквирську міську раду Організатором земельних торгів.</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Визначити Виконавцем електро</w:t>
      </w:r>
      <w:r>
        <w:rPr>
          <w:rFonts w:ascii="Times New Roman" w:eastAsia="Times New Roman" w:hAnsi="Times New Roman" w:cs="Times New Roman"/>
          <w:sz w:val="28"/>
          <w:szCs w:val="28"/>
        </w:rPr>
        <w:t>нних земельних торгів торгову електронну систему ДП “Прозорро. Продажі” (електронний майданчик).</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Виконавець має бути забезпечений апаратно-програмним комплексом, який функціонує в Інтернеті, і повинен бути підключений до Центральної бази даних.</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В</w:t>
      </w:r>
      <w:r>
        <w:rPr>
          <w:rFonts w:ascii="Times New Roman" w:eastAsia="Times New Roman" w:hAnsi="Times New Roman" w:cs="Times New Roman"/>
          <w:sz w:val="28"/>
          <w:szCs w:val="28"/>
        </w:rPr>
        <w:t>иконавець забезпечує Організатору аукціону, потенційним покупцям, учасникам можливість користуватися сервісами електронної торгової системи з автоматичним обміном інформацією щодо процесу проведення аукціонів в електронній формі.</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Виконавець забезпечує</w:t>
      </w:r>
      <w:r>
        <w:rPr>
          <w:rFonts w:ascii="Times New Roman" w:eastAsia="Times New Roman" w:hAnsi="Times New Roman" w:cs="Times New Roman"/>
          <w:sz w:val="28"/>
          <w:szCs w:val="28"/>
        </w:rPr>
        <w:t xml:space="preserve"> безоплатну авторизацію Організатора та авторизацію учасників земельних торгів, відповідно до статті 135 Земельного кодексу України, розміщення ними матеріалів та документів, оприлюднення оголошення про проведення земельних торгів, участь у торгах, ознайом</w:t>
      </w:r>
      <w:r>
        <w:rPr>
          <w:rFonts w:ascii="Times New Roman" w:eastAsia="Times New Roman" w:hAnsi="Times New Roman" w:cs="Times New Roman"/>
          <w:sz w:val="28"/>
          <w:szCs w:val="28"/>
        </w:rPr>
        <w:t>лення необмеженого кола осіб з їх перебігом та результатами в режимі реального часу та можливість безоплатного анонімного перегляду, копіювання та роздрукування інформації із застосуванням поширених веб-оглядачів та редакторів без необхідності застосування</w:t>
      </w:r>
      <w:r>
        <w:rPr>
          <w:rFonts w:ascii="Times New Roman" w:eastAsia="Times New Roman" w:hAnsi="Times New Roman" w:cs="Times New Roman"/>
          <w:sz w:val="28"/>
          <w:szCs w:val="28"/>
        </w:rPr>
        <w:t xml:space="preserve"> спеціально створених технологічних чи програмних засобів цілодобово без обмежень.</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Організатору укласти з Виконавцем (оператором електронного майданчика), договір про організацію та проведення електронних земельних торгів.</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Виставити на земельні торги</w:t>
      </w:r>
      <w:r>
        <w:rPr>
          <w:rFonts w:ascii="Times New Roman" w:eastAsia="Times New Roman" w:hAnsi="Times New Roman" w:cs="Times New Roman"/>
          <w:sz w:val="28"/>
          <w:szCs w:val="28"/>
        </w:rPr>
        <w:t xml:space="preserve"> окремими лотами права оренди на земельні ділянки комунальної власності, визначені у додатку 1 до цього рішення.</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Встановити згідно з додатком 1 до цього рішення наступні умови продажу прав оренди на земельних торгах:</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стартову ціну лоту (розмір річн</w:t>
      </w:r>
      <w:r>
        <w:rPr>
          <w:rFonts w:ascii="Times New Roman" w:eastAsia="Times New Roman" w:hAnsi="Times New Roman" w:cs="Times New Roman"/>
          <w:sz w:val="28"/>
          <w:szCs w:val="28"/>
        </w:rPr>
        <w:t>ої орендної плати) 12% від НГО;</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 термін дії оренди земельних ділянок 7 років;</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 крок торгів у розмірі 1% стартового розміру річної орендної плати за користування земельною ділянкою;</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 розмір гарантійного внеску на рівні 30% стартового розміру цін</w:t>
      </w:r>
      <w:r>
        <w:rPr>
          <w:rFonts w:ascii="Times New Roman" w:eastAsia="Times New Roman" w:hAnsi="Times New Roman" w:cs="Times New Roman"/>
          <w:sz w:val="28"/>
          <w:szCs w:val="28"/>
        </w:rPr>
        <w:t>и продажу права оренди земельної ділянки;</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 користування земельними ділянками в межах охоронних зон здійснюється в режимі обмеженої господарської діяльності (при наявності охоронних зон);</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5.6. Переможці відшкодовують витрати на підготовку лотів у повній</w:t>
      </w:r>
      <w:r>
        <w:rPr>
          <w:rFonts w:ascii="Times New Roman" w:eastAsia="Times New Roman" w:hAnsi="Times New Roman" w:cs="Times New Roman"/>
          <w:sz w:val="28"/>
          <w:szCs w:val="28"/>
        </w:rPr>
        <w:t xml:space="preserve"> мірі, зазначених у додатку 1 до цього рішення, стороні за договором, яка понесла витрати на такі роботи.</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Затвердити проект договору оренди землі, який пропонується укласти з переможцями торгів (додаток 2).</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Земельні торги у формі аукціону з продажу п</w:t>
      </w:r>
      <w:r>
        <w:rPr>
          <w:rFonts w:ascii="Times New Roman" w:eastAsia="Times New Roman" w:hAnsi="Times New Roman" w:cs="Times New Roman"/>
          <w:sz w:val="28"/>
          <w:szCs w:val="28"/>
        </w:rPr>
        <w:t>рав оренди на земельні ділянки провести у ІІІ кварталі 2023 року.</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Визначити Сквирську міську голову уповноваженою особою на:</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 підписання договору на виконання земельних торгів з їх Виконавцем на земельні ділянки згідно додатку 1 цього рішення;</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8.2. </w:t>
      </w:r>
      <w:r>
        <w:rPr>
          <w:rFonts w:ascii="Times New Roman" w:eastAsia="Times New Roman" w:hAnsi="Times New Roman" w:cs="Times New Roman"/>
          <w:sz w:val="28"/>
          <w:szCs w:val="28"/>
        </w:rPr>
        <w:t>підписання протоколів земельних торгів за лотами;</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8.3. укладання договорів оренди землі за результатами проведення земельних торгів.</w:t>
      </w:r>
    </w:p>
    <w:p w:rsidR="004748DC" w:rsidRDefault="007A69B5">
      <w:pPr>
        <w:spacing w:after="0"/>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Контроль за виконанням цього рішення покласти на постійну комісію Сквирської міської ради з питань  підприємництва, пром</w:t>
      </w:r>
      <w:r>
        <w:rPr>
          <w:rFonts w:ascii="Times New Roman" w:eastAsia="Times New Roman" w:hAnsi="Times New Roman" w:cs="Times New Roman"/>
          <w:sz w:val="28"/>
          <w:szCs w:val="28"/>
        </w:rPr>
        <w:t>исловості, сільського господарства, землевпорядкування, будівництва та архітектури.</w:t>
      </w:r>
    </w:p>
    <w:p w:rsidR="004748DC" w:rsidRDefault="007A69B5">
      <w:pPr>
        <w:spacing w:before="240" w:after="240"/>
        <w:ind w:right="1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4748DC" w:rsidRDefault="007A69B5">
      <w:pPr>
        <w:spacing w:before="240" w:after="240"/>
        <w:ind w:right="10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                                                               Валентина ЛЕВІЦЬКА</w:t>
      </w:r>
      <w:bookmarkStart w:id="0" w:name="_GoBack"/>
      <w:bookmarkEnd w:id="0"/>
    </w:p>
    <w:sectPr w:rsidR="004748DC" w:rsidSect="007A69B5">
      <w:pgSz w:w="11906" w:h="16838"/>
      <w:pgMar w:top="993" w:right="850" w:bottom="54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748DC"/>
    <w:rsid w:val="004748DC"/>
    <w:rsid w:val="007A6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uiPriority w:val="34"/>
    <w:qFormat/>
    <w:rsid w:val="00686E9D"/>
    <w:pPr>
      <w:ind w:left="720"/>
      <w:contextualSpacing/>
    </w:p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802C37"/>
    <w:pPr>
      <w:spacing w:after="0" w:line="240" w:lineRule="auto"/>
      <w:jc w:val="both"/>
    </w:pPr>
    <w:rPr>
      <w:rFonts w:ascii="Times New Roman" w:eastAsia="Times New Roman" w:hAnsi="Times New Roman" w:cs="Times New Roman"/>
      <w:sz w:val="24"/>
      <w:szCs w:val="24"/>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802C37"/>
    <w:rPr>
      <w:rFonts w:ascii="Times New Roman" w:eastAsia="Times New Roman" w:hAnsi="Times New Roman" w:cs="Times New Roman"/>
      <w:sz w:val="24"/>
      <w:szCs w:val="24"/>
      <w:lang w:eastAsia="ru-RU"/>
    </w:rPr>
  </w:style>
  <w:style w:type="paragraph" w:styleId="a7">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uiPriority w:val="34"/>
    <w:qFormat/>
    <w:rsid w:val="00686E9D"/>
    <w:pPr>
      <w:ind w:left="720"/>
      <w:contextualSpacing/>
    </w:p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802C37"/>
    <w:pPr>
      <w:spacing w:after="0" w:line="240" w:lineRule="auto"/>
      <w:jc w:val="both"/>
    </w:pPr>
    <w:rPr>
      <w:rFonts w:ascii="Times New Roman" w:eastAsia="Times New Roman" w:hAnsi="Times New Roman" w:cs="Times New Roman"/>
      <w:sz w:val="24"/>
      <w:szCs w:val="24"/>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802C37"/>
    <w:rPr>
      <w:rFonts w:ascii="Times New Roman" w:eastAsia="Times New Roman" w:hAnsi="Times New Roman" w:cs="Times New Roman"/>
      <w:sz w:val="24"/>
      <w:szCs w:val="24"/>
      <w:lang w:eastAsia="ru-RU"/>
    </w:rPr>
  </w:style>
  <w:style w:type="paragraph" w:styleId="a7">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1ccMQanSQYqZ2a2RpDXLRUE+kA==">CgMxLjA4AHIhMV9MYkFkRzl0TWg0ejNiSXBUNlNocFk3ZGJCVVNMY0Yz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2023-05-18T06:35:00Z</dcterms:created>
  <dcterms:modified xsi:type="dcterms:W3CDTF">2023-05-24T07:50:00Z</dcterms:modified>
</cp:coreProperties>
</file>