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611316" ProgID="PBrush" ShapeID="_x0000_s1031" Type="Embed"/>
        </w:pic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tabs>
          <w:tab w:val="left" w:leader="none" w:pos="4680"/>
        </w:tabs>
        <w:spacing w:line="276" w:lineRule="auto"/>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8">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9">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A">
      <w:pPr>
        <w:spacing w:after="200" w:line="276" w:lineRule="auto"/>
        <w:rPr>
          <w:b w:val="1"/>
          <w:sz w:val="36"/>
          <w:szCs w:val="36"/>
        </w:rPr>
      </w:pPr>
      <w:r w:rsidDel="00000000" w:rsidR="00000000" w:rsidRPr="00000000">
        <w:rPr>
          <w:b w:val="1"/>
          <w:sz w:val="28"/>
          <w:szCs w:val="28"/>
          <w:rtl w:val="0"/>
        </w:rPr>
        <w:t xml:space="preserve">від 23 травня 2023 року               м. Сквира                                № 25.42-33-VІІІ</w:t>
      </w: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0F">
      <w:pPr>
        <w:rPr>
          <w:b w:val="1"/>
          <w:sz w:val="28"/>
          <w:szCs w:val="28"/>
        </w:rPr>
      </w:pPr>
      <w:bookmarkStart w:colFirst="0" w:colLast="0" w:name="_heading=h.gjdgxs" w:id="0"/>
      <w:bookmarkEnd w:id="0"/>
      <w:r w:rsidDel="00000000" w:rsidR="00000000" w:rsidRPr="00000000">
        <w:rPr>
          <w:b w:val="1"/>
          <w:sz w:val="28"/>
          <w:szCs w:val="28"/>
          <w:rtl w:val="0"/>
        </w:rPr>
        <w:t xml:space="preserve">Бачінському Дмитру Андрійовичу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Польова, 20 у с. Владиславка </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громадянина Бачінського Дмитра Андрійовича                                                         вх. № 05-2023/4252 від 20.04.2023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громадянину Бачінському Дмитру Андрійовичу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Польова, 20, с. Владиславка,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Бачінському Дмитру Андрійовичу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Польова, 20, с. Владиславка, Білоцерківський район, Київська область, площею 0,2500 га, кадастровий номер 3224086400:03:003:0027.</w:t>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Бачінському Дмитру Андрійовичу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dXLNQ1SlWimpqhGL/pBQpj3u2A==">CgMxLjAyCGguZ2pkZ3hzOAByITEyYjQ2RmYzZy1VV0Z4UEFhNmd4MU1Lc1NlSUxqMGdmNQ==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2023-04-21T10:17:00Z</dcterms:created>
  <dc:creator>user</dc:creator>
</cp:coreProperties>
</file>