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24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№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27 червня 2023 №02-35-VIII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ПЕРЕЛІК</w:t>
        <w:br w:type="textWrapping"/>
        <w:t xml:space="preserve">пільг для фізичних та юридичних осіб, наданих </w:t>
        <w:br w:type="textWrapping"/>
        <w:t xml:space="preserve">відповідно до пункту 284.1 статті 284 Податкового </w:t>
        <w:br w:type="textWrapping"/>
        <w:t xml:space="preserve">кодексу України, із сплати земельного податку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  <w:t xml:space="preserve">Пільги вводяться в дію з 01 січня 2024 року.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Style w:val="Table1"/>
        <w:tblW w:w="9572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078"/>
        <w:gridCol w:w="5494"/>
        <w:tblGridChange w:id="0">
          <w:tblGrid>
            <w:gridCol w:w="4078"/>
            <w:gridCol w:w="549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2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згідно з КАТОТТГ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2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адміністративно-територіальної одиниці</w:t>
              <w:br w:type="textWrapping"/>
              <w:t xml:space="preserve">або населеного пункту, або території об’єднаної територіальної громади</w:t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UA32020150000040878                              Сквирська  міська територіальна громада </w:t>
      </w:r>
    </w:p>
    <w:tbl>
      <w:tblPr>
        <w:tblStyle w:val="Table2"/>
        <w:tblW w:w="9572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687"/>
        <w:gridCol w:w="2885"/>
        <w:tblGridChange w:id="0">
          <w:tblGrid>
            <w:gridCol w:w="6687"/>
            <w:gridCol w:w="288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Група платників, категорія/цільове призначення </w:t>
              <w:br w:type="textWrapping"/>
              <w:t xml:space="preserve">земельних ділянок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Розмір пільги </w:t>
              <w:br w:type="textWrapping"/>
              <w:t xml:space="preserve">(відсотків суми податкового зобов’язання за рік)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Фізичні особи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(в межах , визначених  статтею 281 ПКУ)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Юридичні особи (п.п 282.1.4. п.282.1 статті 282 ПКУ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дошкільні та загальноосвітні навчальні заклади незалежно від форми власності і джерел фінансування, заклади культури, науки (крім національних та державних дендрологічних парків), освіти, охорони здоров’я, соціального захисту, фізичної культури та спорту, які повністю утримуються за рахунок коштів державного або місцевих бюджетів.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Юридичні особи (п.п 282.1.5. п.282.1 статті 282 ПКУ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державні та комунальні дитячі санаторно-курортні заклади та заклади оздоровлення і відпочинку, а також дитячі санаторно-курортні та оздоровчі заклади України, які знаходяться на балансі підприємств, установ та організацій, які є неприбутковими і внесені контролюючим органом до Реєстру неприбуткових установ та організацій. У разі виключення таких підприємств,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виключення, а податок сплачується починаючи з місяця, наступного за місяцем, в якому відбулося виключення з Реєстру неприбуткових установ та організацій;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Юридичні особи (п.п 282.1.6. п.282.1 статті 282 ПКУ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державні та комунальні центри олімпійської підготовки, школи вищої спортивної майстерності, центри фізичного здоров’я населення, центри з розвитку фізичної культури і спорту інвалідів, дитячо-юнацькі спортивні школи, а також центри олімпійської підготовки, школи вищої спортивної майстерності, дитячо-юнацькі спортивні школи і спортивні споруди всеукраїнських фізкультурно-спортивних товариств, їх місцевих осередків та відокремлених підрозділів, що є неприбутковими та включені до Реєстру неприбуткових установ та організацій, за земельні ділянки, на яких розміщені їх спортивні споруди. У разі виключення таких установ та організацій з Реєстру неприбуткових установ та організацій, декларація подається платником податку протягом 30 календарних днів з дня виключення, а податок сплачується починаючи з місяця, наступного за місяцем, в якому відбулося виключення з Реєстру неприбуткових установ та організацій.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Юридичні особи (п.284.4 статті 284 ПКУ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Плата за землю за земельні ділянки, надані гірничодобувним підприємствам для видобування корисних копалин та розробки родовищ корисних копалин, справляється у розмірі 25 відсотків податку, обчисленого відповідно до 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24"/>
                  <w:szCs w:val="24"/>
                  <w:u w:val="none"/>
                  <w:shd w:fill="auto" w:val="clear"/>
                  <w:vertAlign w:val="baseline"/>
                  <w:rtl w:val="0"/>
                </w:rPr>
                <w:t xml:space="preserve">статей 274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і 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24"/>
                  <w:szCs w:val="24"/>
                  <w:u w:val="none"/>
                  <w:shd w:fill="auto" w:val="clear"/>
                  <w:vertAlign w:val="baseline"/>
                  <w:rtl w:val="0"/>
                </w:rPr>
                <w:t xml:space="preserve">277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цього Кодексу.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75</w:t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Пільги визначаються з урахуванням норм підпункту 12.3.7 пункту 12.3 статті 12, пункту 30.2 статті 30, статей 281 і 282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Пільги визначаються з урахуванням норм пункту 284.3 статті 283 Податкового кодексу України , а саме: Якщо платники податку, які користуються пільгами з цього податку, надають в оренду земельні ділянки, окремі будівлі, споруди або їх частини, податок за т</w:t>
      </w:r>
      <w:bookmarkStart w:colFirst="0" w:colLast="0" w:name="bookmark=id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акі земельні ділянки та земельні ділянки під такими будівлями (їх частинами) сплачується на загальних підставах з урахуванням прибудинкової території.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Ця норма не поширюється на бюджетні установи у разі надання ними будівель, споруд (їх частин) в тимчасове користування (оренду) іншим бюджетним установам, дошкільним, загальноосвітнім навчальним закладам незалежно від форм власності і джерел фінансування.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 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0" w:top="1135" w:left="1701" w:right="84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ntiqua" w:eastAsia="Times New Roman" w:hAnsi="Antiqua"/>
      <w:w w:val="100"/>
      <w:position w:val="-1"/>
      <w:sz w:val="26"/>
      <w:effect w:val="none"/>
      <w:vertAlign w:val="baseline"/>
      <w:cs w:val="0"/>
      <w:em w:val="none"/>
      <w:lang w:bidi="ar-SA" w:eastAsia="ru-RU" w:val="uk-UA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suppressAutoHyphens w:val="1"/>
      <w:spacing w:before="120" w:line="1" w:lineRule="atLeast"/>
      <w:ind w:left="567" w:leftChars="-1" w:rightChars="0" w:firstLineChars="-1"/>
      <w:textDirection w:val="btLr"/>
      <w:textAlignment w:val="top"/>
      <w:outlineLvl w:val="2"/>
    </w:pPr>
    <w:rPr>
      <w:rFonts w:ascii="Antiqua" w:eastAsia="Times New Roman" w:hAnsi="Antiqua"/>
      <w:b w:val="1"/>
      <w:i w:val="1"/>
      <w:w w:val="100"/>
      <w:position w:val="-1"/>
      <w:sz w:val="26"/>
      <w:effect w:val="none"/>
      <w:vertAlign w:val="baseline"/>
      <w:cs w:val="0"/>
      <w:em w:val="none"/>
      <w:lang w:bidi="ar-SA" w:eastAsia="ru-RU" w:val="und"/>
    </w:rPr>
  </w:style>
  <w:style w:type="character" w:styleId="Шрифтабзацузапромовчанням">
    <w:name w:val="Шрифт абзацу за промовчанням"/>
    <w:next w:val="Шрифтабзацузапромовчанням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Antiqua" w:cs="Times New Roman" w:eastAsia="Times New Roman" w:hAnsi="Antiqua"/>
      <w:b w:val="1"/>
      <w:i w:val="1"/>
      <w:w w:val="100"/>
      <w:position w:val="-1"/>
      <w:sz w:val="26"/>
      <w:szCs w:val="20"/>
      <w:effect w:val="none"/>
      <w:vertAlign w:val="baseline"/>
      <w:cs w:val="0"/>
      <w:em w:val="none"/>
      <w:lang w:eastAsia="ru-RU"/>
    </w:rPr>
  </w:style>
  <w:style w:type="paragraph" w:styleId="Нормальнийтекст">
    <w:name w:val="Нормальний текст"/>
    <w:basedOn w:val="Звичайний"/>
    <w:next w:val="Нормальнийтекст"/>
    <w:autoRedefine w:val="0"/>
    <w:hidden w:val="0"/>
    <w:qFormat w:val="0"/>
    <w:pPr>
      <w:suppressAutoHyphens w:val="1"/>
      <w:spacing w:before="120" w:line="1" w:lineRule="atLeast"/>
      <w:ind w:leftChars="-1" w:rightChars="0" w:firstLine="567" w:firstLineChars="-1"/>
      <w:textDirection w:val="btLr"/>
      <w:textAlignment w:val="top"/>
      <w:outlineLvl w:val="0"/>
    </w:pPr>
    <w:rPr>
      <w:rFonts w:ascii="Antiqua" w:eastAsia="Times New Roman" w:hAnsi="Antiqua"/>
      <w:w w:val="100"/>
      <w:position w:val="-1"/>
      <w:sz w:val="26"/>
      <w:effect w:val="none"/>
      <w:vertAlign w:val="baseline"/>
      <w:cs w:val="0"/>
      <w:em w:val="none"/>
      <w:lang w:bidi="ar-SA" w:eastAsia="ru-RU" w:val="uk-UA"/>
    </w:rPr>
  </w:style>
  <w:style w:type="paragraph" w:styleId="Назвадокумента">
    <w:name w:val="Назва документа"/>
    <w:basedOn w:val="Звичайний"/>
    <w:next w:val="Нормальнийтекст"/>
    <w:autoRedefine w:val="0"/>
    <w:hidden w:val="0"/>
    <w:qFormat w:val="0"/>
    <w:pPr>
      <w:keepNext w:val="1"/>
      <w:keepLines w:val="1"/>
      <w:suppressAutoHyphens w:val="1"/>
      <w:spacing w:after="24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ntiqua" w:eastAsia="Times New Roman" w:hAnsi="Antiqua"/>
      <w:b w:val="1"/>
      <w:w w:val="100"/>
      <w:position w:val="-1"/>
      <w:sz w:val="26"/>
      <w:effect w:val="none"/>
      <w:vertAlign w:val="baseline"/>
      <w:cs w:val="0"/>
      <w:em w:val="none"/>
      <w:lang w:bidi="ar-SA" w:eastAsia="ru-RU" w:val="uk-UA"/>
    </w:rPr>
  </w:style>
  <w:style w:type="paragraph" w:styleId="ShapkaDocumentu">
    <w:name w:val="Shapka Documentu"/>
    <w:basedOn w:val="Звичайний"/>
    <w:next w:val="ShapkaDocumentu"/>
    <w:autoRedefine w:val="0"/>
    <w:hidden w:val="0"/>
    <w:qFormat w:val="0"/>
    <w:pPr>
      <w:keepNext w:val="1"/>
      <w:keepLines w:val="1"/>
      <w:suppressAutoHyphens w:val="1"/>
      <w:spacing w:after="240" w:line="1" w:lineRule="atLeast"/>
      <w:ind w:left="3969" w:leftChars="-1" w:rightChars="0" w:firstLineChars="-1"/>
      <w:jc w:val="center"/>
      <w:textDirection w:val="btLr"/>
      <w:textAlignment w:val="top"/>
      <w:outlineLvl w:val="0"/>
    </w:pPr>
    <w:rPr>
      <w:rFonts w:ascii="Antiqua" w:eastAsia="Times New Roman" w:hAnsi="Antiqua"/>
      <w:w w:val="100"/>
      <w:position w:val="-1"/>
      <w:sz w:val="26"/>
      <w:effect w:val="none"/>
      <w:vertAlign w:val="baseline"/>
      <w:cs w:val="0"/>
      <w:em w:val="none"/>
      <w:lang w:bidi="ar-SA" w:eastAsia="ru-RU" w:val="uk-UA"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rvps2">
    <w:name w:val="rvps2"/>
    <w:basedOn w:val="Звичайни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apple-converted-space">
    <w:name w:val="apple-converted-space"/>
    <w:basedOn w:val="Шрифтабзацузапромовчанням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Гіперпосилання">
    <w:name w:val="Гіперпосилання"/>
    <w:next w:val="Гіперпосилання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zakon5.rada.gov.ua/laws/show/2755-17/print1448360842401229#n6776" TargetMode="External"/><Relationship Id="rId8" Type="http://schemas.openxmlformats.org/officeDocument/2006/relationships/hyperlink" Target="http://zakon5.rada.gov.ua/laws/show/2755-17/print1448360842401229#n68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XvDQqRV3RguvMiZSnsBc88y+Xw==">CgMxLjAyCWlkLmdqZGd4czgAciExMUk2a0pZUkVqLUNSb2U5SjE5eGhjRUVJZkNmR3g4eXg=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2018-05-05T10:40:00Z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