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510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w:t>
      </w:r>
    </w:p>
    <w:p w:rsidR="00000000" w:rsidDel="00000000" w:rsidP="00000000" w:rsidRDefault="00000000" w:rsidRPr="00000000" w14:paraId="00000002">
      <w:pPr>
        <w:spacing w:after="0" w:lineRule="auto"/>
        <w:ind w:left="510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сесії Сквирської міської ради</w:t>
      </w:r>
    </w:p>
    <w:p w:rsidR="00000000" w:rsidDel="00000000" w:rsidP="00000000" w:rsidRDefault="00000000" w:rsidRPr="00000000" w14:paraId="00000003">
      <w:pPr>
        <w:spacing w:after="0" w:lineRule="auto"/>
        <w:ind w:left="510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22.08.2023 №07-38-VIII</w:t>
      </w:r>
    </w:p>
    <w:p w:rsidR="00000000" w:rsidDel="00000000" w:rsidP="00000000" w:rsidRDefault="00000000" w:rsidRPr="00000000" w14:paraId="00000004">
      <w:pPr>
        <w:spacing w:after="0" w:lineRule="auto"/>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5">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Інформація</w:t>
      </w:r>
    </w:p>
    <w:p w:rsidR="00000000" w:rsidDel="00000000" w:rsidP="00000000" w:rsidRDefault="00000000" w:rsidRPr="00000000" w14:paraId="00000006">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підготовку закладів освіти до початку нового 2023/2024</w:t>
      </w:r>
    </w:p>
    <w:p w:rsidR="00000000" w:rsidDel="00000000" w:rsidP="00000000" w:rsidRDefault="00000000" w:rsidRPr="00000000" w14:paraId="00000007">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навчального року</w:t>
      </w:r>
    </w:p>
    <w:p w:rsidR="00000000" w:rsidDel="00000000" w:rsidP="00000000" w:rsidRDefault="00000000" w:rsidRPr="00000000" w14:paraId="00000008">
      <w:pPr>
        <w:jc w:val="both"/>
        <w:rPr>
          <w:rFonts w:ascii="Times New Roman" w:cs="Times New Roman" w:eastAsia="Times New Roman" w:hAnsi="Times New Roman"/>
          <w:sz w:val="12"/>
          <w:szCs w:val="12"/>
        </w:rPr>
      </w:pPr>
      <w:r w:rsidDel="00000000" w:rsidR="00000000" w:rsidRPr="00000000">
        <w:rPr>
          <w:rtl w:val="0"/>
        </w:rPr>
      </w:r>
    </w:p>
    <w:p w:rsidR="00000000" w:rsidDel="00000000" w:rsidP="00000000" w:rsidRDefault="00000000" w:rsidRPr="00000000" w14:paraId="0000000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Підготовка до початку нового 2023/2024 навчального року зосереджена на п’яти пріоритетних напрямках: безпечне освітнє середовище, максимум очного навчання, доступність, здорове харчування, цифронізація освітнього процесу.</w:t>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1 вересня 2023 року в Сквирській  громаді працюватиме 14 закладів загальної середньої освіти, 3 філії, 4 заклади дошкільної освіти, 2 заклади позашкільної освіти.</w:t>
      </w:r>
      <w:r w:rsidDel="00000000" w:rsidR="00000000" w:rsidRPr="00000000">
        <w:rPr>
          <w:rFonts w:ascii="Arial" w:cs="Arial" w:eastAsia="Arial" w:hAnsi="Arial"/>
          <w:color w:val="6d727c"/>
          <w:sz w:val="21"/>
          <w:szCs w:val="21"/>
          <w:rtl w:val="0"/>
        </w:rPr>
        <w:t xml:space="preserve"> </w:t>
      </w:r>
      <w:r w:rsidDel="00000000" w:rsidR="00000000" w:rsidRPr="00000000">
        <w:rPr>
          <w:rFonts w:ascii="Times New Roman" w:cs="Times New Roman" w:eastAsia="Times New Roman" w:hAnsi="Times New Roman"/>
          <w:sz w:val="28"/>
          <w:szCs w:val="28"/>
          <w:rtl w:val="0"/>
        </w:rPr>
        <w:t xml:space="preserve">З початком нового навчального року у кожному закладі освіти індивідуально буде ухвалюватися рішення щодо організації освітнього процесу – очно, дистанційно чи у змішаному форматі. Це рішення залежатиме, зокрема, від безпекової ситуації, наявності, стану та місткості укриття. </w:t>
      </w:r>
    </w:p>
    <w:p w:rsidR="00000000" w:rsidDel="00000000" w:rsidP="00000000" w:rsidRDefault="00000000" w:rsidRPr="00000000" w14:paraId="0000000C">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Стан укриттів фонду захисних споруд цивільного захисту</w:t>
      </w:r>
      <w:r w:rsidDel="00000000" w:rsidR="00000000" w:rsidRPr="00000000">
        <w:rPr>
          <w:rtl w:val="0"/>
        </w:rPr>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закладах освіти Сквирської  громади облаштовано 20 споруд цивільного захисту (18 найпростіших укриттів та 2 ПРУ). </w:t>
      </w:r>
    </w:p>
    <w:p w:rsidR="00000000" w:rsidDel="00000000" w:rsidP="00000000" w:rsidRDefault="00000000" w:rsidRPr="00000000" w14:paraId="0000000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Укладено договори про надання приміщень у безоплатне користування під час освітнього процесу Чубинецькою початковою школою з відділом культури, молоді і спорту Сквирської міської ради (договір №1 від 01.09.2022 р.),  Самгородоцьким НВК з КНП СМЦПМСП (договір №1 від ос 02.08.2023р.), Сквирським ЗДО №1 «Світанок» з уповноваженою особою з управління багатоквартирним будинком Єфіменко О.М. (Договір від 04.10.2022 р.).</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рахунок місцевого бюджету проведено ремонт найпростіших укриттів у Сквирському ЗДО №3 «Берізка», Горобіївському НВК (гідроізоляція поверхневого шару грунту) , Буківському НВК. Здійснено ремонт інженерних мереж в укритті Сквирського ЗДО №6 « Ромашка». Розпочато ремонт коридору укриття Сквирського академічного ліцею «Перспектива».</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цих закладах у підвальних частинах відремонтовано електрообладнання, облаштовано внутрішні вбиральні, відновлено водопостачання та каналізаційні системи, замінено двері тощо.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черговій сесії міської ради виділено додаткові кошти на ремонт укриттів Сквирського ЗДО №6 «Ромашка» (кімната №24 та система вентиляції), Кривошиїнського НВК (кімната №2 та аварійний вихід), Рудянської філії Шамраївського НВК (облаштування внутрішньої вбиральні, встановлення металевих дверей, тощо). Відділом освіти закуплено 160 світлодіодних ламп для укриттів, запланована закупівля біотуалетів.</w:t>
      </w:r>
      <w:r w:rsidDel="00000000" w:rsidR="00000000" w:rsidRPr="00000000">
        <w:rPr>
          <w:rFonts w:ascii="Tahoma" w:cs="Tahoma" w:eastAsia="Tahoma" w:hAnsi="Tahoma"/>
          <w:b w:val="0"/>
          <w:i w:val="0"/>
          <w:smallCaps w:val="0"/>
          <w:strike w:val="0"/>
          <w:color w:val="000000"/>
          <w:sz w:val="18"/>
          <w:szCs w:val="1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Найпростіші укриття закладів освіти забезпечені шанцевими інструментами, засобами пожежогасіння, медичними аптечками та необхідним запасом води.</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комісійного обстеження укриттів були складені акти оцінки укриттів та вказано, за яких умов укриття можуть бути рекомендовані для використання учасниками освітнього процесу. До використання як найпростіші укриття не рекомендовано укриття Рудянської філії Шамраївського НВК та Кривошиїнського НВК (будівля ЗДО), визначено як не готове для використання ПРУ № 153507 Сквирського академічного ліцею «Перспектива» як споруда подвійного призначення із захисними властивостями протирадіаційного укриття. Рекомендації комісії взято до відома та вживаються заходи щодо їх усунення.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Виконання основних ремонтних робіт до початку експлуатації приміщень закладу освіти</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капітальний ремонт (заміна вікон) у Сквирському ЗДО №2 «Малятко» та капітальний ремонт паркану і воріт у Сквирському ЗДО №3 «Берізка».</w:t>
      </w:r>
    </w:p>
    <w:p w:rsidR="00000000" w:rsidDel="00000000" w:rsidP="00000000" w:rsidRDefault="00000000" w:rsidRPr="00000000" w14:paraId="000000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ремонт  класної кімнати Сквирського ЗЗСО №3 , зокрема проведені гідроізоляційні роботи.</w:t>
      </w:r>
    </w:p>
    <w:p w:rsidR="00000000" w:rsidDel="00000000" w:rsidP="00000000" w:rsidRDefault="00000000" w:rsidRPr="00000000" w14:paraId="0000001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Завершено ремонт відмостки у Сквирському ЗДО №6 «Ромашка».</w:t>
      </w:r>
    </w:p>
    <w:p w:rsidR="00000000" w:rsidDel="00000000" w:rsidP="00000000" w:rsidRDefault="00000000" w:rsidRPr="00000000" w14:paraId="0000001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Завершено капітальний ремонт харчоблоку в Сквирському академічному ліцеї, підключено нове технологічне обладнання. У серпні розпочався  капітальний ремонт приміщення їдальні закладу.</w:t>
      </w:r>
    </w:p>
    <w:p w:rsidR="00000000" w:rsidDel="00000000" w:rsidP="00000000" w:rsidRDefault="00000000" w:rsidRPr="00000000" w14:paraId="0000001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спонсорські кошти проведено ремонт ганку у Буківському НВК.</w:t>
      </w:r>
    </w:p>
    <w:p w:rsidR="00000000" w:rsidDel="00000000" w:rsidP="00000000" w:rsidRDefault="00000000" w:rsidRPr="00000000" w14:paraId="0000001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Виділено кошти на ремонт відмостки у Сквирському академічному ліцеї та Буківському НВК.</w:t>
      </w:r>
    </w:p>
    <w:p w:rsidR="00000000" w:rsidDel="00000000" w:rsidP="00000000" w:rsidRDefault="00000000" w:rsidRPr="00000000" w14:paraId="0000001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Виділено рішенням сесії міської ради кошти на капітальний ремонт даху Сквирської ДЮСШ, який було пошкоджено сильним буревієм. На сьогодні виготовляється проєктно-кошторисна документація.</w:t>
      </w:r>
    </w:p>
    <w:p w:rsidR="00000000" w:rsidDel="00000000" w:rsidP="00000000" w:rsidRDefault="00000000" w:rsidRPr="00000000" w14:paraId="0000001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Виготовляється проєктно-кошторисна документація на ремонт вентиляційної системи в укритті Сквирського академічного ліцею №2, найближчим часом розпочнеться монтаж вказаної системи.</w:t>
      </w:r>
    </w:p>
    <w:p w:rsidR="00000000" w:rsidDel="00000000" w:rsidP="00000000" w:rsidRDefault="00000000" w:rsidRPr="00000000" w14:paraId="0000001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місцевого бюджету придбано фарбу, розчинник, лак, сантехнічні вироби, будівельні матеріали для проведення поточних ремонтів у закладах освіти.</w:t>
      </w:r>
    </w:p>
    <w:p w:rsidR="00000000" w:rsidDel="00000000" w:rsidP="00000000" w:rsidRDefault="00000000" w:rsidRPr="00000000" w14:paraId="0000001F">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 Стан пожежної безпеки в закладі освіти</w:t>
      </w:r>
      <w:r w:rsidDel="00000000" w:rsidR="00000000" w:rsidRPr="00000000">
        <w:rPr>
          <w:rtl w:val="0"/>
        </w:rPr>
      </w:r>
    </w:p>
    <w:p w:rsidR="00000000" w:rsidDel="00000000" w:rsidP="00000000" w:rsidRDefault="00000000" w:rsidRPr="00000000" w14:paraId="0000002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Згідно з приписів ДСНС відділом освіти укладено договори на встановлення пожежної сигналізації у котельнях Пустоварівського НВК, Сквирського академічного ліцею та Сквирського НВК №5.</w:t>
      </w:r>
    </w:p>
    <w:p w:rsidR="00000000" w:rsidDel="00000000" w:rsidP="00000000" w:rsidRDefault="00000000" w:rsidRPr="00000000" w14:paraId="0000002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технічне обслуговування (ремонт, технічне обслуговування перезарядка) вогнегасників закладів освіти Сквирської міської ради. Установи та заклади освіти  вогнегасниками забезпечені.</w:t>
      </w:r>
    </w:p>
    <w:p w:rsidR="00000000" w:rsidDel="00000000" w:rsidP="00000000" w:rsidRDefault="00000000" w:rsidRPr="00000000" w14:paraId="0000002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Підготовка до опалювального сезону</w:t>
      </w:r>
    </w:p>
    <w:p w:rsidR="00000000" w:rsidDel="00000000" w:rsidP="00000000" w:rsidRDefault="00000000" w:rsidRPr="00000000" w14:paraId="0000002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підготовки закладів освіти до осінньо-зимового періоду 2023-2024 року укладено договір та здані на повірку лічильники та коректори газу Сквирського ЦДЮТ, Сквирського ЗДО №2 «Малятко» та Антонівського НВК. </w:t>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Розроблено та погоджено робочі проєкти на реконструкцію систем газопостачання котелень Сквирського ЗДО №2 «Малятко», Сквирського ЦДЮТ та Буківського НВК.</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Укладено договір на послуги із замірів опору ізоляції у власних котельнях закладів  освіти.</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Будуть укладені договори на послуги з перевірки димовентиляційних каналів в котельнях та на послуги з підготовки до опалювального сезону (передпускова підготовка газових котелень).</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проходження опалювального сезону 2023-2024 року необхідно:</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Отримати технічні умови, розробити робочий проєкт на реконструкція систем газопостачання у Антонівському НВК та Самгородоцькому НВК та укласти договори на реконструкцію систем газопостачання</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Укласти договір та на реконструкцію систем газопостачання у котельнях Буківського НВК, Сквирського ЦДЮТ, Сквирського ЗДО №2 «Малятко».</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Отримати погодження у АТ «Київоблгаз» робочого проєкту на реконструкцію систем газопостачання у  Чубинецькій початковій школі (проєкт виготовлено).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Придбати та встановити циркуляційні насоси у газових котельнях Чубинецької початкової школи (2 шт), Кривошиїнського НВК (1 шт), Сквирського ЦДЮТ (1 шт)</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Придбати та встановити газові котли у Сквирському ЗДО №2 «Малятко» та Сквирському ЗЗСО №3.</w:t>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випадки аварійного, планового та стабілізаційного відключення електроенергії заклади освіти забезпечені генераторами у кількості 18 штук потужністю до 10 кВт, середні витрати палива на 1 год. роботи генератора орієнтовно 2-2,5 л. Експлуатація генераторів у закладах освіти регулюється наказом  про порядок експлуатації генераторів закладами освіти , інструкцією з охорони праці під час експлуатації пересувного бензинового та дизельного генераторів , в установах та закладах освіти наказами директорів призначені відповідальні особи за зберігання та експлуатацію генераторів.</w:t>
      </w:r>
    </w:p>
    <w:p w:rsidR="00000000" w:rsidDel="00000000" w:rsidP="00000000" w:rsidRDefault="00000000" w:rsidRPr="00000000" w14:paraId="0000003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1">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 Підвіз учасників освітнього процесу</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підвезення учнів та педагогічних працівників до закладів освіти буде використано 9 автобусів. Графіки та маршрути руху розробляються з врахуванням пропозицій адміністрацій закладів.      Протягом червня-серпня здійснений власними силами поточний ремонт автотранспорту. Закуплено запчастини на суму 110 953 грн.</w:t>
      </w:r>
    </w:p>
    <w:p w:rsidR="00000000" w:rsidDel="00000000" w:rsidP="00000000" w:rsidRDefault="00000000" w:rsidRPr="00000000" w14:paraId="0000003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 Медичний огляд</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на 10 серпня 2023 року 63% педагогічних працівників пройшли медичні огляди. Згідно з графіками огляди продовжуються.</w:t>
      </w:r>
    </w:p>
    <w:p w:rsidR="00000000" w:rsidDel="00000000" w:rsidP="00000000" w:rsidRDefault="00000000" w:rsidRPr="00000000" w14:paraId="00000036">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 Забезпечення підручниками</w:t>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результатами інвентаризації, станом на 09.08 2023 року, заклади загальної середньої освіти громади, забезпечені підручниками в 2023/2024 навчальному році на 82 %. Інвентаризація фондів підручників для учнів 1-4 класів показала, що початкова школа у наступному навчальному році забезпечена підручниками на 100%. НУШ 5 та 6 класи забезпечені відповідно на 12% та 18%. 7 клас - 86%, 8 клас - 93%, 9 клас - 95%, 10 та 11 класи - 100%. До кінця серпня 2023 року буде проведений внутрішній перерозподіл підручників, за результатами якого відсоток забезпеченості підручниками зросте.</w:t>
      </w:r>
    </w:p>
    <w:p w:rsidR="00000000" w:rsidDel="00000000" w:rsidP="00000000" w:rsidRDefault="00000000" w:rsidRPr="00000000" w14:paraId="00000039">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Електронні журнали, платформа з навчальними матеріалами</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умовах переходу з однієї форми навчання на іншу оптимальною формою для фіксації результатів навчання учнів та надання їм зворотного зв’язку є електронний журнал. 48 % закладів освіти перейшли на ведення електронної документації та обрали найбільш зручний для нього ресурс для ведення електронного журналу, враховуючи вимоги та рекомендації МОН до таких ресурсів. Важливою функцією електронного журналу є надання зворотного зв’язку учням та їхнім батькам щодо успішності навчання.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9. Кадрове забезпечення</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освітній галузі Сквирщини працюють 820 працівників, з них педагогічних працівників - 529 осіб, зокрема:</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 загальноосвітніх навчальних закладах (всіх типів) – 628 працівників, з них педагогічних працівників - 422 особи, технічних працівників – 206;</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у дошкільних навчальних закладах – 137 працівників, з них: 65 – педагогічні працівники;  72 - обслуговуючий персонал і технічні працівники;</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позашкільних навчальних закладах 55 працівників, з них 42 педагогічних працівників та 13 - обслуговуючий персонал.</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288" w:before="0" w:line="276"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освіти міської ради                                                      Світлана РИЧЕНКО</w:t>
      </w:r>
    </w:p>
    <w:p w:rsidR="00000000" w:rsidDel="00000000" w:rsidP="00000000" w:rsidRDefault="00000000" w:rsidRPr="00000000" w14:paraId="00000045">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rPr>
          <w:rFonts w:ascii="Times New Roman" w:cs="Times New Roman" w:eastAsia="Times New Roman" w:hAnsi="Times New Roman"/>
          <w:sz w:val="24"/>
          <w:szCs w:val="24"/>
        </w:rPr>
      </w:pPr>
      <w:r w:rsidDel="00000000" w:rsidR="00000000" w:rsidRPr="00000000">
        <w:rPr>
          <w:rtl w:val="0"/>
        </w:rPr>
      </w:r>
    </w:p>
    <w:sectPr>
      <w:pgSz w:h="16838" w:w="11906" w:orient="portrait"/>
      <w:pgMar w:bottom="1134"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98"/>
      <w:numFmt w:val="bullet"/>
      <w:lvlText w:val="-"/>
      <w:lvlJc w:val="left"/>
      <w:pPr>
        <w:ind w:left="709" w:hanging="359.99999999999994"/>
      </w:pPr>
      <w:rPr>
        <w:rFonts w:ascii="Times New Roman" w:cs="Times New Roman" w:eastAsia="Times New Roman" w:hAnsi="Times New Roman"/>
      </w:rPr>
    </w:lvl>
    <w:lvl w:ilvl="1">
      <w:start w:val="1"/>
      <w:numFmt w:val="bullet"/>
      <w:lvlText w:val="o"/>
      <w:lvlJc w:val="left"/>
      <w:pPr>
        <w:ind w:left="1429" w:hanging="360"/>
      </w:pPr>
      <w:rPr>
        <w:rFonts w:ascii="Courier New" w:cs="Courier New" w:eastAsia="Courier New" w:hAnsi="Courier New"/>
      </w:rPr>
    </w:lvl>
    <w:lvl w:ilvl="2">
      <w:start w:val="1"/>
      <w:numFmt w:val="bullet"/>
      <w:lvlText w:val="▪"/>
      <w:lvlJc w:val="left"/>
      <w:pPr>
        <w:ind w:left="2149" w:hanging="360"/>
      </w:pPr>
      <w:rPr>
        <w:rFonts w:ascii="Noto Sans Symbols" w:cs="Noto Sans Symbols" w:eastAsia="Noto Sans Symbols" w:hAnsi="Noto Sans Symbols"/>
      </w:rPr>
    </w:lvl>
    <w:lvl w:ilvl="3">
      <w:start w:val="1"/>
      <w:numFmt w:val="bullet"/>
      <w:lvlText w:val="●"/>
      <w:lvlJc w:val="left"/>
      <w:pPr>
        <w:ind w:left="2869" w:hanging="360"/>
      </w:pPr>
      <w:rPr>
        <w:rFonts w:ascii="Noto Sans Symbols" w:cs="Noto Sans Symbols" w:eastAsia="Noto Sans Symbols" w:hAnsi="Noto Sans Symbols"/>
      </w:rPr>
    </w:lvl>
    <w:lvl w:ilvl="4">
      <w:start w:val="1"/>
      <w:numFmt w:val="bullet"/>
      <w:lvlText w:val="o"/>
      <w:lvlJc w:val="left"/>
      <w:pPr>
        <w:ind w:left="3589" w:hanging="360"/>
      </w:pPr>
      <w:rPr>
        <w:rFonts w:ascii="Courier New" w:cs="Courier New" w:eastAsia="Courier New" w:hAnsi="Courier New"/>
      </w:rPr>
    </w:lvl>
    <w:lvl w:ilvl="5">
      <w:start w:val="1"/>
      <w:numFmt w:val="bullet"/>
      <w:lvlText w:val="▪"/>
      <w:lvlJc w:val="left"/>
      <w:pPr>
        <w:ind w:left="4309" w:hanging="360"/>
      </w:pPr>
      <w:rPr>
        <w:rFonts w:ascii="Noto Sans Symbols" w:cs="Noto Sans Symbols" w:eastAsia="Noto Sans Symbols" w:hAnsi="Noto Sans Symbols"/>
      </w:rPr>
    </w:lvl>
    <w:lvl w:ilvl="6">
      <w:start w:val="1"/>
      <w:numFmt w:val="bullet"/>
      <w:lvlText w:val="●"/>
      <w:lvlJc w:val="left"/>
      <w:pPr>
        <w:ind w:left="5029" w:hanging="360"/>
      </w:pPr>
      <w:rPr>
        <w:rFonts w:ascii="Noto Sans Symbols" w:cs="Noto Sans Symbols" w:eastAsia="Noto Sans Symbols" w:hAnsi="Noto Sans Symbols"/>
      </w:rPr>
    </w:lvl>
    <w:lvl w:ilvl="7">
      <w:start w:val="1"/>
      <w:numFmt w:val="bullet"/>
      <w:lvlText w:val="o"/>
      <w:lvlJc w:val="left"/>
      <w:pPr>
        <w:ind w:left="5749" w:hanging="360"/>
      </w:pPr>
      <w:rPr>
        <w:rFonts w:ascii="Courier New" w:cs="Courier New" w:eastAsia="Courier New" w:hAnsi="Courier New"/>
      </w:rPr>
    </w:lvl>
    <w:lvl w:ilvl="8">
      <w:start w:val="1"/>
      <w:numFmt w:val="bullet"/>
      <w:lvlText w:val="▪"/>
      <w:lvlJc w:val="left"/>
      <w:pPr>
        <w:ind w:left="6469" w:hanging="360"/>
      </w:pPr>
      <w:rPr>
        <w:rFonts w:ascii="Noto Sans Symbols" w:cs="Noto Sans Symbols" w:eastAsia="Noto Sans Symbols" w:hAnsi="Noto Sans Symbols"/>
      </w:rPr>
    </w:lvl>
  </w:abstractNum>
  <w:abstractNum w:abstractNumId="2">
    <w:lvl w:ilvl="0">
      <w:start w:val="8"/>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CA69A3"/>
    <w:pPr>
      <w:suppressAutoHyphens w:val="1"/>
      <w:spacing w:after="200" w:line="276" w:lineRule="auto"/>
      <w:ind w:left="720"/>
      <w:contextualSpacing w:val="1"/>
    </w:pPr>
  </w:style>
  <w:style w:type="paragraph" w:styleId="a4">
    <w:name w:val="Balloon Text"/>
    <w:basedOn w:val="a"/>
    <w:link w:val="a5"/>
    <w:uiPriority w:val="99"/>
    <w:semiHidden w:val="1"/>
    <w:unhideWhenUsed w:val="1"/>
    <w:rsid w:val="00AC58E3"/>
    <w:pPr>
      <w:spacing w:after="0" w:line="240" w:lineRule="auto"/>
    </w:pPr>
    <w:rPr>
      <w:rFonts w:ascii="Segoe UI" w:cs="Segoe UI" w:hAnsi="Segoe UI"/>
      <w:sz w:val="18"/>
      <w:szCs w:val="18"/>
    </w:rPr>
  </w:style>
  <w:style w:type="character" w:styleId="a5" w:customStyle="1">
    <w:name w:val="Текст выноски Знак"/>
    <w:basedOn w:val="a0"/>
    <w:link w:val="a4"/>
    <w:uiPriority w:val="99"/>
    <w:semiHidden w:val="1"/>
    <w:rsid w:val="00AC58E3"/>
    <w:rPr>
      <w:rFonts w:ascii="Segoe UI" w:cs="Segoe UI" w:hAnsi="Segoe UI"/>
      <w:sz w:val="18"/>
      <w:szCs w:val="18"/>
    </w:rPr>
  </w:style>
  <w:style w:type="paragraph" w:styleId="a6">
    <w:name w:val="Normal (Web)"/>
    <w:basedOn w:val="a"/>
    <w:uiPriority w:val="99"/>
    <w:unhideWhenUsed w:val="1"/>
    <w:rsid w:val="00247801"/>
    <w:pPr>
      <w:spacing w:after="100" w:afterAutospacing="1" w:before="100" w:beforeAutospacing="1" w:line="240" w:lineRule="auto"/>
    </w:pPr>
    <w:rPr>
      <w:rFonts w:ascii="Times New Roman" w:cs="Times New Roman" w:eastAsia="Times New Roman" w:hAnsi="Times New Roman"/>
      <w:sz w:val="24"/>
      <w:szCs w:val="24"/>
      <w:lang w:eastAsia="uk-UA" w:val="uk-UA"/>
    </w:rPr>
  </w:style>
  <w:style w:type="character" w:styleId="a7">
    <w:name w:val="Strong"/>
    <w:basedOn w:val="a0"/>
    <w:uiPriority w:val="22"/>
    <w:qFormat w:val="1"/>
    <w:rsid w:val="00247801"/>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RjVlh0Pxljgp8FGly7t7w5Wnew==">CgMxLjAyCGguZ2pkZ3hzOAByITFGUHRxd2hfTTdoX2daSzRtc2Vyam5CaUNreGdTVVM4bA==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2023-08-14T06:30:00Z</dcterms:created>
  <dc:creator>Пользователь Windows</dc:creator>
</cp:coreProperties>
</file>