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/>
      </w:pPr>
      <w:r w:rsidDel="00000000" w:rsidR="00000000" w:rsidRPr="00000000">
        <w:rPr/>
        <w:drawing>
          <wp:inline distB="0" distT="0" distL="114300" distR="114300">
            <wp:extent cx="448310" cy="609600"/>
            <wp:effectExtent b="0" l="0" r="0" t="0"/>
            <wp:docPr id="10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" w:hanging="3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СКВИРСЬКА МІСЬКА РАДА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right="40"/>
        <w:jc w:val="center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1" w:right="40" w:hanging="3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right="40" w:hanging="2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b w:val="1"/>
          <w:rtl w:val="0"/>
        </w:rPr>
        <w:t xml:space="preserve">від 22 серпня  2023 року                       м. Сквира                          №19-38-VIII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right="7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Про намір передати в оренду нерухоме майно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right="7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комунальної власності Сквирської міської територіальної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right="7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громади частину нежитлової будівлі «Магазину»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right="7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загальною площею 106,10 кв.м. по вул. Перемоги, 14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right="7" w:hanging="2"/>
        <w:rPr/>
      </w:pPr>
      <w:r w:rsidDel="00000000" w:rsidR="00000000" w:rsidRPr="00000000">
        <w:rPr>
          <w:b w:val="1"/>
          <w:rtl w:val="0"/>
        </w:rPr>
        <w:t xml:space="preserve">в с. Миньківці Білоцерківського району Київської області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-2" w:firstLine="567"/>
        <w:jc w:val="both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З метою підвищення ефективності використання об’єктів нерухомого майна комунальної власності Сквирської міської ради, відповідно до статті 6 Закону України «Про оренду державного та комунального майна», враховуючи рішення сесії Сквирської міської ради від 22.08.2023 року №18-38-VІІІ «Про затвердження Переліків першого та другого типів об’єктів комунальної власності Сквирської міської територіальної громади, що підлягають передачі в оренду, в новій редакції», керуючись статтями 26, 60 Закону України «Про місцеве самоврядування в Україні», враховуючи пропозиції постійних комісій міської ради, Сквирська міська рада</w:t>
      </w:r>
      <w:r w:rsidDel="00000000" w:rsidR="00000000" w:rsidRPr="00000000">
        <w:rPr>
          <w:b w:val="1"/>
          <w:color w:val="333333"/>
          <w:rtl w:val="0"/>
        </w:rPr>
        <w:t xml:space="preserve"> </w:t>
      </w:r>
      <w:r w:rsidDel="00000000" w:rsidR="00000000" w:rsidRPr="00000000">
        <w:rPr>
          <w:color w:val="333333"/>
          <w:rtl w:val="0"/>
        </w:rPr>
        <w:t xml:space="preserve">VIII скликання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jc w:val="both"/>
        <w:rPr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rPr>
          <w:b w:val="1"/>
          <w:color w:val="333333"/>
        </w:rPr>
      </w:pPr>
      <w:r w:rsidDel="00000000" w:rsidR="00000000" w:rsidRPr="00000000">
        <w:rPr>
          <w:b w:val="1"/>
          <w:color w:val="333333"/>
          <w:rtl w:val="0"/>
        </w:rPr>
        <w:t xml:space="preserve">В И Р І Ш И Л А: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0" w:hanging="2"/>
        <w:rPr>
          <w:b w:val="1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2" w:firstLine="567"/>
        <w:jc w:val="both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1. Передати в оренду з проведенням аукціону об’єкт нерухомого майна комунальної власності – частину нежитлової будівлі «Магазину» (приміщення №1-1, 1-2), загальною площею 106,10 кв.м. за адресою: вул. Перемоги, 14 в с. Миньківці Білоцерківського району Київської області.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-2" w:firstLine="567"/>
        <w:jc w:val="both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2. Визначити умови оренди об’єкта нерухомого майна комунальної власності, згідно додатку.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-2" w:firstLine="567"/>
        <w:jc w:val="both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3. Відділу</w:t>
      </w:r>
      <w:r w:rsidDel="00000000" w:rsidR="00000000" w:rsidRPr="00000000">
        <w:rPr>
          <w:color w:val="333333"/>
          <w:sz w:val="24"/>
          <w:szCs w:val="24"/>
          <w:rtl w:val="0"/>
        </w:rPr>
        <w:t xml:space="preserve"> </w:t>
      </w:r>
      <w:r w:rsidDel="00000000" w:rsidR="00000000" w:rsidRPr="00000000">
        <w:rPr>
          <w:color w:val="333333"/>
          <w:rtl w:val="0"/>
        </w:rPr>
        <w:t xml:space="preserve">капітального будівництва, комунальної власності та житлово-комунального господарства Сквирської міської ради здійснити дії  по передачі в оренду даного об’єкту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2" w:firstLine="567"/>
        <w:jc w:val="both"/>
        <w:rPr>
          <w:color w:val="333333"/>
        </w:rPr>
      </w:pPr>
      <w:r w:rsidDel="00000000" w:rsidR="00000000" w:rsidRPr="00000000">
        <w:rPr>
          <w:color w:val="333333"/>
          <w:rtl w:val="0"/>
        </w:rPr>
        <w:t xml:space="preserve">4.</w:t>
      </w:r>
      <w:r w:rsidDel="00000000" w:rsidR="00000000" w:rsidRPr="00000000">
        <w:rPr>
          <w:color w:val="333333"/>
          <w:sz w:val="32"/>
          <w:szCs w:val="32"/>
          <w:rtl w:val="0"/>
        </w:rPr>
        <w:t xml:space="preserve"> </w:t>
      </w:r>
      <w:r w:rsidDel="00000000" w:rsidR="00000000" w:rsidRPr="00000000">
        <w:rPr>
          <w:color w:val="333333"/>
          <w:rtl w:val="0"/>
        </w:rPr>
        <w:t xml:space="preserve">Контроль за виконанням рішення покласти на постійну комісію міської ради з питань комунального майна, житлово-комунального господарства, благоустрою та охорони навколишнього середовища. 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color w:val="333333"/>
        </w:rPr>
      </w:pPr>
      <w:r w:rsidDel="00000000" w:rsidR="00000000" w:rsidRPr="00000000">
        <w:rPr>
          <w:b w:val="1"/>
          <w:color w:val="333333"/>
          <w:rtl w:val="0"/>
        </w:rPr>
        <w:t xml:space="preserve">Міська голова                                                        Валентина ЛЕВІЦЬКА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2" w:firstLine="509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Додаток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40" w:lineRule="auto"/>
        <w:ind w:left="-2" w:firstLine="509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до рішення Сквирської міської ради 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-2" w:firstLine="5092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від 22.08.2023 №19-38-VІІІ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Умови оренди  нежитлового приміщення розташованого за адресою: 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/>
      </w:pPr>
      <w:r w:rsidDel="00000000" w:rsidR="00000000" w:rsidRPr="00000000">
        <w:rPr>
          <w:b w:val="1"/>
          <w:rtl w:val="0"/>
        </w:rPr>
        <w:t xml:space="preserve">вул. Перемоги,14 в с. Миньківці Білоцерківського району Київської області</w:t>
      </w:r>
      <w:r w:rsidDel="00000000" w:rsidR="00000000" w:rsidRPr="00000000">
        <w:rPr>
          <w:rtl w:val="0"/>
        </w:rPr>
      </w:r>
    </w:p>
    <w:tbl>
      <w:tblPr>
        <w:tblStyle w:val="Table1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 об’єкта</w:t>
            </w:r>
          </w:p>
        </w:tc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Частина нежитлової будівлі «Магазину»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Орендодавець</w:t>
            </w:r>
          </w:p>
        </w:tc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Балансоутримувач</w:t>
            </w:r>
          </w:p>
        </w:tc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Відділ капітального будівництва, комунальної власності та житлово-комунального господарства код ЄДРПОУ 44153671, вул. Карла Болсуновського, буд.28, м.Сквира, Білоцерківський район, Київська область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Контактні дані працівника, відповідального за ознайомлення  з об’єктом оренди та час і місце проведення огляду об’єкту</w:t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Болтівець Ольга Анатоліївна, 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тел. (067) 68-33-339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e-mail: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kap_bud2021@ukr.net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вул. Карла Болсуновського, буд.28, м.Сквира, Білоцерківський район, Київська область У робочі дні з 8.00 до 16.30, обідня перерва з 12.00 до 12.30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Інформація про об’єкт оренди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Тип Переліку, до якого включено об’єкт оренди </w:t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Перелік першого типу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Балансова вартість об’єкта</w:t>
            </w:r>
          </w:p>
        </w:tc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Первісна балансова вартість – 155 755,98 грн. 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Залишкова балансова вартість об’єкта станом на 31.07.2023 року – 109 029,19 грн.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Тип об’єкта</w:t>
            </w:r>
          </w:p>
        </w:tc>
        <w:tc>
          <w:tcPr/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Нерухоме майно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2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Строк оренди </w:t>
            </w:r>
          </w:p>
        </w:tc>
        <w:tc>
          <w:tcPr/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Строк оренди -  5  років, 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наявність рішень про проведення інвестиційного конкурсу або включення  об’єкта до переліку майна, що підлягає приватизації</w:t>
            </w:r>
          </w:p>
        </w:tc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Відсутня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отримання балансоутримувачем погодження  органу управління  балансоутримувача у випадках, коли  отримання такого погодження було необхідним відповідно до законодавства, статуту  або положення балансоутримувача</w:t>
            </w:r>
          </w:p>
        </w:tc>
        <w:tc>
          <w:tcPr/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Не потребує</w:t>
            </w:r>
          </w:p>
        </w:tc>
      </w:tr>
    </w:tbl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86"/>
        <w:gridCol w:w="5953"/>
        <w:tblGridChange w:id="0">
          <w:tblGrid>
            <w:gridCol w:w="3686"/>
            <w:gridCol w:w="595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Чи передбачається можливість передачі об’єкта в суборенду</w:t>
            </w:r>
          </w:p>
        </w:tc>
        <w:tc>
          <w:tcPr/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Без права суборенди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Фотографічні матеріали</w:t>
            </w:r>
          </w:p>
        </w:tc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Загальна площа об’єкта</w:t>
            </w:r>
          </w:p>
        </w:tc>
        <w:tc>
          <w:tcPr/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106.10 кв.м.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Корисна площа об’єкта</w:t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106.10 кв.м. 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арешти майна/застави</w:t>
            </w:r>
          </w:p>
        </w:tc>
        <w:tc>
          <w:tcPr/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Відсутня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Характеристика об’єкта оренди (будівлі в цілому або частини будівлі із зазначенням розташування об’єкта в будівлі (надземний, цокольний технічний або мансардний поверх, номер поверху)</w:t>
            </w:r>
          </w:p>
        </w:tc>
        <w:tc>
          <w:tcPr/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Частина нежитлової одноповерхової будівлі «Магазину» з надземним розташуванням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Технічний стан об’єкта потужність електромережі і забезпечення об’єкта комунікаціями</w:t>
            </w:r>
          </w:p>
        </w:tc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Перебуває в придатному для використання стані.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Об’єкт оренди забезпечено необхідними комунікаціями.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Поверховий план об’єкта</w:t>
            </w:r>
          </w:p>
        </w:tc>
        <w:tc>
          <w:tcPr/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Додається окремим файлом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те, що об’єктом оренди є пам’ятка культурної спадщини та інформація про отримання погодження органу охорони культурної спадщини на передачу об’єкта в оренду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Об’єкт не є пам’яткою культурної спадщини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цільове призначення </w:t>
            </w:r>
          </w:p>
        </w:tc>
        <w:tc>
          <w:tcPr/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Для здійснення підприємницької діяльності у сфері торгівлі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компенсацію витрат на оплату комунальних послуг</w:t>
            </w:r>
          </w:p>
        </w:tc>
        <w:tc>
          <w:tcPr/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Орендар відшкодовує балансоутримувачу витрати на оплату комунальних послуг відповідно до договору.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Відповідно до статті 13 Закону України « Про оренду державного та комунального майна» майно передається в оренду з проведення аукціону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239"/>
        <w:gridCol w:w="6095"/>
        <w:tblGridChange w:id="0">
          <w:tblGrid>
            <w:gridCol w:w="3305"/>
            <w:gridCol w:w="239"/>
            <w:gridCol w:w="6095"/>
          </w:tblGrid>
        </w:tblGridChange>
      </w:tblGrid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Орендна плата, визначена на підставі Методики розрахунку </w:t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Орендної плати за державне майно, затвердженої Постановою КМУ від 28 квітня 2021 року №630(далі Методика)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 аукціоні 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нарахування ПДВ </w:t>
            </w:r>
          </w:p>
        </w:tc>
        <w:tc>
          <w:tcPr/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ПДВ не нараховується</w:t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Найменування установи (банку, казначейства), її місцезнаходження та номери рахунків у національній та іноземній валюті, відкритих для внесення розрахунків за орендовані об’єкти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UA118999980334109850000010844, отримувач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ГУК у Київ.обл/Сквирська міс/22080402</w:t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код отримувача ЄДРПОУ 37955989, банк отримувача Казначейство України (ел.адм.подат.)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Додаткові умови оренди </w:t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Перелік додаткових умов оренди, з переліку, що визначений абз. 4 п. 55 Порядку передачі в оренду державного та комунального майна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Дата та номер рішення про затвердження додаткових умов оренди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Відсутні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Додаткова інформація</w:t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Наявність згоди на здійснення поточного та / або капітального ремонту орендованого майна під час встановлення додаткової умови оренди щодо виконання конкретних видів ремонтних робіт, реконструкції або реставрації об’єкта оренди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Проведення ремонтних робіт за окремим зверненням орендаря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Інформація про необхідність відповідності орендаря вимогам статті 4 Закону України «Про оренду державного та комунального майна»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Потенційний орендар повинен відповідати вимогам до особи орендаря, визначеним статтею 4 «Про оренду державного та комунального майна»</w:t>
            </w:r>
          </w:p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63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05"/>
        <w:gridCol w:w="6334"/>
        <w:tblGridChange w:id="0">
          <w:tblGrid>
            <w:gridCol w:w="3305"/>
            <w:gridCol w:w="633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Копія охоронного договору, якщо об’єктом оренди є пам’ятка, якщо об’єктом оренди є занедбана пам’ятка, також копія згоди (дозволу) на здійснення ремонту, реставрації, яка дає право на зарахування витрат орендаря в рахунок орендної плати</w:t>
            </w:r>
          </w:p>
        </w:tc>
        <w:tc>
          <w:tcPr/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Відсутній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Інша додаткова інформація, визначена орендодавцем</w:t>
            </w:r>
          </w:p>
        </w:tc>
        <w:tc>
          <w:tcPr/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Відсутня</w:t>
            </w:r>
          </w:p>
        </w:tc>
      </w:tr>
    </w:tbl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Начальниця відділу капітального 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будівництва, комунального майна </w:t>
      </w:r>
    </w:p>
    <w:p w:rsidR="00000000" w:rsidDel="00000000" w:rsidP="00000000" w:rsidRDefault="00000000" w:rsidRPr="00000000" w14:paraId="0000009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та житлово - комунального 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rPr>
          <w:b w:val="1"/>
        </w:rPr>
      </w:pPr>
      <w:r w:rsidDel="00000000" w:rsidR="00000000" w:rsidRPr="00000000">
        <w:rPr>
          <w:b w:val="1"/>
          <w:rtl w:val="0"/>
        </w:rPr>
        <w:t xml:space="preserve">господарства міської ради </w:t>
        <w:tab/>
        <w:tab/>
        <w:tab/>
        <w:tab/>
        <w:tab/>
        <w:t xml:space="preserve">Марина ТЕРНОВА</w:t>
      </w:r>
    </w:p>
    <w:sectPr>
      <w:pgSz w:h="16838" w:w="11906" w:orient="portrait"/>
      <w:pgMar w:bottom="1114" w:top="992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uk-UA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</w:rPr>
  </w:style>
  <w:style w:type="paragraph" w:styleId="1">
    <w:name w:val="heading 1"/>
    <w:basedOn w:val="a"/>
    <w:next w:val="a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 w:customStyle="1">
    <w:name w:val="Обычный (веб);Обычный (Интернет)"/>
    <w:basedOn w:val="a"/>
    <w:pPr>
      <w:spacing w:after="100" w:afterAutospacing="1" w:before="100" w:beforeAutospacing="1"/>
    </w:pPr>
    <w:rPr>
      <w:color w:val="auto"/>
      <w:w w:val="100"/>
      <w:sz w:val="24"/>
      <w:szCs w:val="24"/>
      <w:lang w:val="ru-RU"/>
    </w:rPr>
  </w:style>
  <w:style w:type="paragraph" w:styleId="a5">
    <w:name w:val="caption"/>
    <w:basedOn w:val="a"/>
    <w:next w:val="a"/>
    <w:pPr>
      <w:spacing w:after="240"/>
      <w:ind w:left="720" w:hanging="720"/>
      <w:jc w:val="center"/>
    </w:pPr>
    <w:rPr>
      <w:color w:val="auto"/>
      <w:w w:val="100"/>
      <w:sz w:val="32"/>
      <w:szCs w:val="32"/>
    </w:rPr>
  </w:style>
  <w:style w:type="paragraph" w:styleId="a6">
    <w:name w:val="Balloon Text"/>
    <w:basedOn w:val="a"/>
    <w:rPr>
      <w:rFonts w:ascii="Tahoma" w:cs="Tahoma" w:hAnsi="Tahoma"/>
      <w:sz w:val="16"/>
      <w:szCs w:val="16"/>
    </w:rPr>
  </w:style>
  <w:style w:type="character" w:styleId="a7" w:customStyle="1">
    <w:name w:val="Текст выноски Знак"/>
    <w:rPr>
      <w:rFonts w:ascii="Tahoma" w:cs="Tahoma" w:hAnsi="Tahoma"/>
      <w:color w:val="000000"/>
      <w:w w:val="87"/>
      <w:position w:val="-1"/>
      <w:sz w:val="16"/>
      <w:szCs w:val="16"/>
      <w:effect w:val="none"/>
      <w:vertAlign w:val="baseline"/>
      <w:cs w:val="0"/>
      <w:em w:val="none"/>
      <w:lang w:eastAsia="ru-RU" w:val="uk-UA"/>
    </w:rPr>
  </w:style>
  <w:style w:type="character" w:styleId="a8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styleId="a9">
    <w:name w:val="Table Grid"/>
    <w:basedOn w:val="a1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  <w:lang w:val="ru-RU"/>
    </w:r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10" w:customStyle="1">
    <w:name w:val="Заголовок1"/>
    <w:basedOn w:val="a"/>
    <w:next w:val="aa"/>
    <w:pPr>
      <w:suppressAutoHyphens w:val="0"/>
      <w:jc w:val="center"/>
    </w:pPr>
    <w:rPr>
      <w:rFonts w:eastAsia="Times New Roman"/>
      <w:b w:val="1"/>
      <w:bCs w:val="1"/>
      <w:color w:val="auto"/>
      <w:w w:val="100"/>
      <w:sz w:val="24"/>
      <w:szCs w:val="24"/>
      <w:lang w:eastAsia="zh-CN"/>
    </w:rPr>
  </w:style>
  <w:style w:type="paragraph" w:styleId="aa">
    <w:name w:val="Body Text"/>
    <w:basedOn w:val="a"/>
    <w:pPr>
      <w:spacing w:after="120"/>
    </w:pPr>
  </w:style>
  <w:style w:type="character" w:styleId="ab" w:customStyle="1">
    <w:name w:val="Основной текст Знак"/>
    <w:rPr>
      <w:rFonts w:ascii="Times New Roman" w:hAnsi="Times New Roman"/>
      <w:color w:val="000000"/>
      <w:w w:val="87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paragraph" w:styleId="ac">
    <w:name w:val="No Spacing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Times New Roman" w:hAnsi="Times New Roman"/>
      <w:color w:val="000000"/>
      <w:w w:val="87"/>
      <w:position w:val="-1"/>
      <w:sz w:val="28"/>
      <w:szCs w:val="28"/>
    </w:rPr>
  </w:style>
  <w:style w:type="character" w:styleId="ad" w:customStyle="1">
    <w:name w:val="Строгий;обычный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ae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0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1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2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3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KcdTbsOEqacVrQldmM+8RBSCeQ==">CgMxLjAyCWguMzBqMHpsbDgAciExTFVnbDh1WWtUcTBfWFRKcGN2WTNxZnFpUnNpRlhvc1I=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2021-09-06T07:36:00Z</dcterms:created>
  <dc:creator>User</dc:creator>
</cp:coreProperties>
</file>