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114300" distR="114300">
            <wp:extent cx="448310" cy="609600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hd w:fill="ffffff" w:val="clear"/>
        <w:ind w:right="40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ind w:right="40"/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ind w:right="4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м. Сквира                                  №21-22-VIII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74.000000000001"/>
        </w:tabs>
        <w:spacing w:after="0" w:before="0" w:line="240" w:lineRule="auto"/>
        <w:ind w:left="0" w:right="2848.582677165354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штатного розпису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омунального підприємства «Сквираблагоустрій»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36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п.5 ч.1 ст. 26 Закону України «Про місцеве самоврядування в Україні», керуючись нормами Бюджетного та Господарського кодексів України, статтею 52 Закону України «Про місцеве самоврядування в Україні», на виконання розпорядження Сквирської міської ради №45-ОД від 11.04.2022 р, «Про деякі питання оплати працівників підприємств, установ та організацій Сквирської міської територіальної громади у період дії військового стану», розглянувши лист комунального підприємства «Сквираблагоустрій», враховуючи висновки постійної комісії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Погодити штатний розпис комунального підприємства «Сквираблагоустрій», який вв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едено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дію з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 травня 2022 року, що додається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     Виконуючому обов’язки директора  комунального підприємства «Сквираблагоустрій» Олександру Пінчуку провести заходи, передбачені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122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2"/>
          <w:sz w:val="28"/>
          <w:szCs w:val="28"/>
          <w:highlight w:val="white"/>
          <w:u w:val="none"/>
          <w:vertAlign w:val="baseline"/>
          <w:rtl w:val="0"/>
        </w:rPr>
        <w:t xml:space="preserve">пунктом 1 частини першої статті 40 та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частиною першою статті 49-2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rtl w:val="0"/>
        </w:rPr>
        <w:t xml:space="preserve">Кодексу законів про працю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України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  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         Валентина ЛЕВІЦЬКА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581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7">
      <w:pPr>
        <w:shd w:fill="ffffff" w:val="clear"/>
        <w:ind w:firstLine="453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8">
      <w:pPr>
        <w:ind w:firstLine="5103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18.05. 2022 р. №21-22-VIII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97.0" w:type="dxa"/>
        <w:jc w:val="left"/>
        <w:tblInd w:w="-601.0" w:type="dxa"/>
        <w:tblLayout w:type="fixed"/>
        <w:tblLook w:val="0000"/>
      </w:tblPr>
      <w:tblGrid>
        <w:gridCol w:w="283"/>
        <w:gridCol w:w="2400"/>
        <w:gridCol w:w="850"/>
        <w:gridCol w:w="1022"/>
        <w:gridCol w:w="735"/>
        <w:gridCol w:w="375"/>
        <w:gridCol w:w="695"/>
        <w:gridCol w:w="928"/>
        <w:gridCol w:w="815"/>
        <w:gridCol w:w="851"/>
        <w:gridCol w:w="709"/>
        <w:gridCol w:w="1134"/>
        <w:tblGridChange w:id="0">
          <w:tblGrid>
            <w:gridCol w:w="283"/>
            <w:gridCol w:w="2400"/>
            <w:gridCol w:w="850"/>
            <w:gridCol w:w="1022"/>
            <w:gridCol w:w="735"/>
            <w:gridCol w:w="375"/>
            <w:gridCol w:w="695"/>
            <w:gridCol w:w="928"/>
            <w:gridCol w:w="815"/>
            <w:gridCol w:w="851"/>
            <w:gridCol w:w="709"/>
            <w:gridCol w:w="1134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.953125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ШТАТНИЙ РОЗПИС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5.9765625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КОМУНАЛЬНОГО ПІДПРИЄМСТВА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(введений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 «01» травня 2022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наказом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11-ОД від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"25" квітня 2022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48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посади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Код по класифікатору професій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Кіль-ть штатних одиниць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Коефіцієнт по колективному договору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Розряд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коефіцієнт по розряду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Умови праці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Оклад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Погодинна таривна ставка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Місяч-на тариф-на ставка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Всього за місяць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АДМІНПЕРСОНАЛ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Директор (згідно контракту)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1210,1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23579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23579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бухгалтер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18006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18006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економіст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Провідний бухгалтер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2411,2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Фахівець з публічних закупівель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2419,2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11004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11004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Інспектор з кадрів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адмінперсонал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91602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ВИРОБНИЧИЙ ПЕРСОНАЛ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ДОПОМІЖНИЙ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Механік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Інженер з охорони праці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2149,2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Касир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4211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Фельдшер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3001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Сторож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24,97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25008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9,50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59020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МІСЬКСВІТЛО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енергетик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1222,1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Електромонтажник з освітлення та освітлювальних мереж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(вуличне освітлення)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7137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53,47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Водій автотранспортних засобів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31425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БЛАГОУСТРІЙ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Інженер по благоустрою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2149,2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Інспектор з благоустрою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10003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Тракторист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53,47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35701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Прибиральник території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175059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Водій автотранспортних засобів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50,89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25485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Опоряджувальник будівельний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7139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41,67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6955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27819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286572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Разом виробничий персонал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377017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Всього по підприємству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66,50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468619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В.о.   директора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КП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Олександр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Пінчук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09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967.9133858267733" w:top="992.1259842519685" w:left="1701" w:right="71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87T8WH3RfwHqL8OAIq1F3Li0g==">AMUW2mVIAA/1x4Yhd1stDNUlxP5a1bFMdc80WHJjBkCXMdOwtupj2vWGJX4JHrwo7ICNYO/8PcvGaEc77gO1302Y+KOiCzEQ3isamOPX2LJl9kjygiL1FaQ=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2022-05-04T07:12:00Z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