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36747725"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РІШЕННЯ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2"/>
          <w:szCs w:val="32"/>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31 січня 2023 року                    м. Сквира                             №23.5-29-VІІІ</w:t>
      </w:r>
    </w:p>
    <w:p w:rsidR="00000000" w:rsidDel="00000000" w:rsidP="00000000" w:rsidRDefault="00000000" w:rsidRPr="00000000" w14:paraId="0000000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 </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власність громадянці Боковій Олені Михайлівні</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ведення товарного сільськогосподарського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виробництва площею 4,1078 га на території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Бокової Олени Михайлівни вх.№05-2023/3757 від 09.12.2022 та додані документи, рішення Сквирського районного суду Київської області від 22.02.2021 №376/257/21, рішення Сквирської міської ради №37.18-17-VIII від 23.12.2021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відповідно до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Перехідних положень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Боковій Олені Михайлівні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 загальною площею 4,1078 га за адресою: Київська область, Білоцерківський район, Сквирська міська територіальна громада,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Боковій Олені Михайлівні </w:t>
      </w:r>
      <w:r w:rsidDel="00000000" w:rsidR="00000000" w:rsidRPr="00000000">
        <w:rPr>
          <w:rFonts w:ascii="Times New Roman" w:cs="Times New Roman" w:eastAsia="Times New Roman" w:hAnsi="Times New Roman"/>
          <w:color w:val="000000"/>
          <w:sz w:val="28"/>
          <w:szCs w:val="28"/>
          <w:rtl w:val="0"/>
        </w:rPr>
        <w:t xml:space="preserve">земельну ділянку у власність 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загальною площею 4,1078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3224084300:04:018:0018, за адресою: Київська область, Білоцерківський район, Сквирська міська територіальна громада</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Боковій Олені Михайлівні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992.1259842519685" w:left="1701" w:right="566"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A85AD1"/>
    <w:rPr>
      <w:rFonts w:ascii="Times New Roman" w:cs="Times New Roman" w:hAnsi="Times New Roman"/>
      <w:sz w:val="24"/>
      <w:szCs w:val="24"/>
      <w:lang w:eastAsia="ru-RU" w:val="uk-UA"/>
    </w:rPr>
  </w:style>
  <w:style w:type="paragraph" w:styleId="20"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4B37CC"/>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4B37CC"/>
    <w:rPr>
      <w:rFonts w:ascii="Segoe UI" w:cs="Segoe UI" w:hAnsi="Segoe UI"/>
      <w:sz w:val="18"/>
      <w:szCs w:val="18"/>
      <w:lang w:eastAsia="en-US" w:val="ru-RU"/>
    </w:rPr>
  </w:style>
  <w:style w:type="paragraph" w:styleId="aa">
    <w:name w:val="List Paragraph"/>
    <w:basedOn w:val="a"/>
    <w:uiPriority w:val="34"/>
    <w:qFormat w:val="1"/>
    <w:rsid w:val="00A82BD7"/>
    <w:pPr>
      <w:spacing w:after="0" w:line="240" w:lineRule="auto"/>
      <w:ind w:left="720"/>
      <w:contextualSpacing w:val="1"/>
    </w:pPr>
    <w:rPr>
      <w:rFonts w:ascii="Times New Roman" w:eastAsia="Times New Roman" w:hAnsi="Times New Roman"/>
      <w:sz w:val="24"/>
      <w:szCs w:val="24"/>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ZRZb3G2Mp38JE2TXutPfGlH6FA==">AMUW2mUYRx+eWOdEklPkd/lEgCUT3xrdaOPOJ88+VlSNWdhp3qB+O42+7kcO1J2RHwM/ovmnfADbSVZHT4YFONucrz2pXp2oF1cxveMNS1OxLAI8ohWmKSr8t7rnYHBpbJlJ6IhraWVG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2023-01-12T09:36:00Z</dcterms:created>
  <dc:creator>Користувач</dc:creator>
</cp:coreProperties>
</file>