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       м. Сквира    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№5 ІІ поверху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ДЮСШ ім.Воропая П.М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загальною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110,2 кв.м по вул. Карла Болсуновського,74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(для проведення занять з тенісу)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від 31 січня 2023 року №14-29-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color w:val="333333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частину нежитлового приміщення Сквирської ДЮСШ ім.Воропая П.М., загальною площею 110,2 кв. м за адресою: вул.Карла Болсуновського,74, м. Сквира, Білоцерківський район, Київська область з погодинним використанням для проведення занять з тенісу.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об’єкта нерухомого майна комунальної власності,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згідно додатку.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  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 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31.01.2023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Сквирської ДЮСШ ім.Воропая П.М.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ЄДРПОУ 43934956, вул. Карла Болсуновського,буд.55,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Світлана Петрівна, тел. (04568) 5-25-75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буд.55, м.Сквира, Білоцерківський район, Київська область У робочі дні з 8.00 до 16.30, обідня перерва з 13.00 до 13.30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18828,00 грн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 01.11.2022 року – 1818,40 грн.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Ринкова вартість на 15.12.2022 року – 445281,00 грн.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 та графік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  років,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пропонований графік оренди – вівторок, четвер, субота з 18:00 до 20:00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5940"/>
        <w:tblGridChange w:id="0">
          <w:tblGrid>
            <w:gridCol w:w="3705"/>
            <w:gridCol w:w="594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спортивної школи з надземним розташуванням, з погодинним використанням для проведення занять з тенісу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задовільний, всіма необхідними комунікаціями забезпечено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Здійснення підприємницької діяльності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ачальни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капітального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             Марина ТЕРНОВА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                  </w:t>
        <w:tab/>
      </w:r>
    </w:p>
    <w:sectPr>
      <w:pgSz w:h="16838" w:w="11906" w:orient="portrait"/>
      <w:pgMar w:bottom="823.1102362204729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OJsYT/S6otSqMP/fVQhqwus44A==">AMUW2mW1SnczqAP3B40lVdK/P08emgI6q7i8BgaAIfFFR7qv7HB2rLPM4NUAWcTs7dxphDrhAEqWmgLPFhbB8KRoYHlGKbZHZaVolwbb1bG3CZFPhENvr8M=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