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drawing>
          <wp:inline distB="0" distT="0" distL="114300" distR="114300">
            <wp:extent cx="450215" cy="61404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0215" cy="61404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A">
      <w:pPr>
        <w:rPr>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громадянці  Олексієнко Тетяні Костянтинівні 1/2  частки та                                            громадянину  Олексієнко Миколі Миколайовичу 1/2  частки,                             для  будівництва і обслуговування  житлового будинку, господарських будівель і споруд  площею 0,2500 га   по вул.  Новоселиця,  53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Олексієнко Тетяні Костянтинівні та громадянина Олексієнко Миколи Миколайовича  вх. № 09-2023/576 від 22.08.2023,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0,2500 га за адресою:           вул. Новоселиця, 53, с. Шамраївка, Білоцерківський район, Київська область, що додається.</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Олексієнко Тетяні Костянтинівні 1/2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громадянину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Олексієнко Миколі Миколайовичу 1/2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3224088201:01:024:0018, загальною площею  0,2500  га за адресою: вул. Новоселиця, 53, с. Шамраївка, Білоцерківський район, Київська область. </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Олексієнко Тетяні Костянтинівні та громадянину Олексієнку Миколі Миколайовичу,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5RaVl2CXYFpbzl6Gf/0BkkFRSA==">CgMxLjAyCGguZ2pkZ3hzOAByITFNWjM2OVhfRHVBVzBPaEhCN3VnZEJxcTFsNS1RdUxBTA==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