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                                       Трубіліній  Ірині Михайлівні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0,2500 га по  вул. Зарічна, 92  у с. Самгородок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громадянки Трубіліної Ірини Михайлівни                                                          вх. № 09-2023/552 від 16.08.2023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Трубіліній Ірині Михайлівні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Зарічна, 92, с. Самгородок,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bookmarkStart w:colFirst="0" w:colLast="0" w:name="_heading=h.gjdgxs" w:id="0"/>
      <w:bookmarkEnd w:id="0"/>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Трубіліній Ірині Михайлівні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Зарічна, 92,  с. Самгородок, Білоцерківський район, Київська область, площею  0,2500 га, кадастровий номер 3224086601:01:065:0011.</w:t>
      </w:r>
    </w:p>
    <w:p w:rsidR="00000000" w:rsidDel="00000000" w:rsidP="00000000" w:rsidRDefault="00000000" w:rsidRPr="00000000" w14:paraId="00000019">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Трубіліній Ірині Михайлівні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KRvS0Mooe74fdrqvKZXYCm55UA==">CgMxLjAyCGguZ2pkZ3hzOAByITFEY29zUTdVazBjWGpPMWFRQWVxQU9QamkzUEdnbzZtVg==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