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громадянці                                         Куценко Юлії Олегівні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0,1000 га по вул. Кобзаря, 17 у м. Сквира                 Білоцерківського району Київської області </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ind w:firstLine="708"/>
        <w:jc w:val="both"/>
        <w:rPr>
          <w:sz w:val="28"/>
          <w:szCs w:val="28"/>
        </w:rPr>
      </w:pPr>
      <w:r w:rsidDel="00000000" w:rsidR="00000000" w:rsidRPr="00000000">
        <w:rPr>
          <w:sz w:val="28"/>
          <w:szCs w:val="28"/>
          <w:rtl w:val="0"/>
        </w:rPr>
        <w:t xml:space="preserve">Розглянувши заяву громадянки Куценко Юлії Олегівни                                                          вх. № 05-2023/4519 від 25.07.2023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4">
      <w:pPr>
        <w:jc w:val="both"/>
        <w:rPr>
          <w:sz w:val="28"/>
          <w:szCs w:val="28"/>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6">
      <w:pPr>
        <w:jc w:val="center"/>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громадянці Куценко Юлії Олегівні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Кобзаря, 17,               м. Сквира, Білоцерківський район, Київська область, що додається.</w:t>
      </w:r>
    </w:p>
    <w:p w:rsidR="00000000" w:rsidDel="00000000" w:rsidP="00000000" w:rsidRDefault="00000000" w:rsidRPr="00000000" w14:paraId="00000018">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Куценко Юлії Олегівні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Кобзаря, 17,  м. Сквира, Білоцерківський район, Київська область, площею  0,1000 га, кадастровий номер 3224010100:01:049:0144.</w:t>
      </w:r>
    </w:p>
    <w:p w:rsidR="00000000" w:rsidDel="00000000" w:rsidP="00000000" w:rsidRDefault="00000000" w:rsidRPr="00000000" w14:paraId="00000019">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Куценко Юлії Олегівні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WfhXOea1rEgL+0i2AdNwB2ZZQw==">CgMxLjAyCGguZ2pkZ3hzOAByITFxVEFncnYzNVpucVpFWDBqckFqZDNKVXhEeEVzc3VhTA==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