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016997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E520E4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№125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AC72C6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 вересня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E520E4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№7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Шапіївка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староста Пасічник В.М.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69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23"/>
        <w:gridCol w:w="879"/>
        <w:gridCol w:w="754"/>
        <w:gridCol w:w="800"/>
        <w:gridCol w:w="798"/>
        <w:gridCol w:w="299"/>
        <w:gridCol w:w="2867"/>
        <w:gridCol w:w="255"/>
        <w:gridCol w:w="773"/>
        <w:gridCol w:w="993"/>
        <w:gridCol w:w="37"/>
        <w:gridCol w:w="637"/>
      </w:tblGrid>
      <w:tr w:rsidR="002473C3" w:rsidRPr="00EF4CF1" w:rsidTr="00522C9C">
        <w:trPr>
          <w:gridAfter w:val="2"/>
          <w:wAfter w:w="307" w:type="pct"/>
          <w:trHeight w:val="143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522C9C">
        <w:trPr>
          <w:gridAfter w:val="2"/>
          <w:wAfter w:w="307" w:type="pct"/>
          <w:jc w:val="center"/>
        </w:trPr>
        <w:tc>
          <w:tcPr>
            <w:tcW w:w="469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</w:t>
            </w:r>
            <w:r w:rsidR="00E520E4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</w:t>
            </w:r>
            <w:r w:rsidR="00E520E4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С </w:t>
            </w:r>
            <w:proofErr w:type="spellStart"/>
            <w:r w:rsidR="00E520E4">
              <w:rPr>
                <w:rFonts w:ascii="Times New Roman" w:eastAsia="Times New Roman" w:hAnsi="Times New Roman" w:cs="Times New Roman"/>
                <w:b/>
                <w:lang w:eastAsia="uk-UA"/>
              </w:rPr>
              <w:t>Шапіївка</w:t>
            </w:r>
            <w:proofErr w:type="spellEnd"/>
            <w:r w:rsidR="00E520E4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вул. Ювілейна №1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520E4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520E4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520E4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520E4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520E4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Ялина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Ялина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>
              <w:t xml:space="preserve">      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>
              <w:t xml:space="preserve">      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30-35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30-35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Каштан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30-35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Берест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469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Вул. Ювілейна №1 б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Сокір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2473C3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B819B1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ED4FA7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520E4" w:rsidRDefault="00E520E4" w:rsidP="00E520E4">
            <w:r w:rsidRPr="004678B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20E4" w:rsidRPr="00EF4CF1" w:rsidRDefault="00E520E4" w:rsidP="00E5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Сокір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B178D">
              <w:t>20-22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Сокір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B178D">
              <w:t>20-22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Сокір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B178D">
              <w:t>20-22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Сокір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90-100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>
              <w:t>20-22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Акація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26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Акація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Акація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18-20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Алича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Алича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D1762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16DF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A30D70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Слива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B566AB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75611D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86105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Абрикоса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B566AB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75611D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86105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Шовковиця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B566AB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75611D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86105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2473C3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Черешня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Pr="00EF4CF1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B566AB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75611D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3C3" w:rsidRDefault="002473C3" w:rsidP="002473C3">
            <w:r w:rsidRPr="00286105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3C3" w:rsidRDefault="002473C3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1"/>
          <w:wAfter w:w="290" w:type="pct"/>
          <w:trHeight w:val="621"/>
          <w:jc w:val="center"/>
        </w:trPr>
        <w:tc>
          <w:tcPr>
            <w:tcW w:w="471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24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Шапіївка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сільське кладовище 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Ясен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Ясен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Ясен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>
              <w:t xml:space="preserve">      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>
              <w:t xml:space="preserve">      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80-90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Верба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41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Верба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Верба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100-120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Верба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90-100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80-90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>
              <w:t xml:space="preserve">      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>
              <w:t xml:space="preserve">      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Клен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25-35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AD4595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357D9B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522C9C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522C9C" w:rsidP="00016997">
            <w:r>
              <w:t xml:space="preserve">      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016997" w:rsidP="00016997">
            <w:r w:rsidRPr="00E829D2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6997" w:rsidRDefault="00522C9C" w:rsidP="00016997">
            <w:r>
              <w:t xml:space="preserve">      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6997" w:rsidRDefault="00016997" w:rsidP="0001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22C9C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B156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8B36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3784C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22C9C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B1569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8B36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3784C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22C9C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37556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8B36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4832C5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22C9C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37556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8B366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4832C5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22C9C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3224E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522C9C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F0E9D"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22C9C" w:rsidRPr="00EF4CF1" w:rsidTr="00522C9C">
        <w:trPr>
          <w:gridAfter w:val="2"/>
          <w:wAfter w:w="307" w:type="pct"/>
          <w:trHeight w:val="62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3224E">
              <w:t xml:space="preserve">      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522C9C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22C9C" w:rsidRDefault="00522C9C" w:rsidP="00522C9C">
            <w:r w:rsidRPr="006F0E9D">
              <w:t xml:space="preserve">      1</w:t>
            </w:r>
            <w:bookmarkStart w:id="0" w:name="_GoBack"/>
            <w:bookmarkEnd w:id="0"/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C9C" w:rsidRDefault="00522C9C" w:rsidP="0052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016997" w:rsidRPr="00820150" w:rsidTr="00522C9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E520E4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0169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0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6997" w:rsidRPr="00820150" w:rsidTr="00522C9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520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6997" w:rsidRPr="00820150" w:rsidTr="00522C9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522C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522C9C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________60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01699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016997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016997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016997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16997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16997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16997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16997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522C9C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75942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</w:t>
      </w:r>
      <w:r w:rsidR="00B75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Висновок комісії</w:t>
      </w:r>
    </w:p>
    <w:p w:rsidR="00522C9C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пошкодження зелених насаджень шкідниками, досягнення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F97CDD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3F45C6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6619A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38608B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</w:t>
      </w:r>
    </w:p>
    <w:p w:rsidR="00522C9C" w:rsidRDefault="00522C9C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52DA1" w:rsidRPr="00B75942" w:rsidRDefault="00152DA1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522C9C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522C9C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522C9C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522C9C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22C9C" w:rsidRDefault="00522C9C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522C9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60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522C9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шістдесят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522C9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60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522C9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шістдесят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22C9C">
        <w:rPr>
          <w:rFonts w:ascii="Times New Roman" w:hAnsi="Times New Roman" w:cs="Times New Roman"/>
          <w:sz w:val="24"/>
          <w:szCs w:val="24"/>
        </w:rPr>
        <w:t xml:space="preserve">                Пасічник В.М. 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1699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473C3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2C9C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520E4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22B49-F864-45D7-A444-75EE6BFB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2</cp:revision>
  <cp:lastPrinted>2021-11-19T06:14:00Z</cp:lastPrinted>
  <dcterms:created xsi:type="dcterms:W3CDTF">2023-09-23T19:42:00Z</dcterms:created>
  <dcterms:modified xsi:type="dcterms:W3CDTF">2023-09-23T19:42:00Z</dcterms:modified>
</cp:coreProperties>
</file>