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звіту про виконання бюджету Сквирської міської територіальної громади за 9 місяців 2023 року</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w:t>
      </w:r>
      <w:r w:rsidDel="00000000" w:rsidR="00000000" w:rsidRPr="00000000">
        <w:rPr>
          <w:sz w:val="28"/>
          <w:szCs w:val="28"/>
          <w:rtl w:val="0"/>
        </w:rPr>
        <w:t xml:space="preserve">статті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28 Бюджетного кодексу України фінансове управління Сквирської міської ради надає інформацію для публічного обговорення звіту про виконання бюджету Сквирської міської територіальної громади за 9 місяців 2023 року.</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Доходи</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загального фонду бюджету Сквирської міської територіальної громади за 9 місяців 2023 року фактично надійшло 253 661 671,19</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112,9 відсотків до  планових призначень на відповідний період.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9 місяців 2023 року (без урахування трансфертів) фактично надійшло 158 761 273,47 гривень, що становить 122,4 відсотки виконання  уточнених планових показників доходів на відповідний період. За 9 місяців 2023 року по загальному фонду бюджету громади було уточнено 23 063 896,41 гривень  від перевиконання планових показників доходів.</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Порівняно до надходжень</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місяців 2022 року надходження відповідного періоду 2023 року збільшились на 29 005 266,28 гривень. Темп росту фактичних надходжень за 9 місяців 2023 року до надходжень відповідного періоду 2022 року становить 122,2 відсотка.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60,3 відсотки, єдиний податок – 21,4 відсотки, плата за землю – 9,3 відсотки. Інші види надходжень займають незначне місце і становлять 9,0 відсотків.</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Динаміка та структура фактичних надходжень  до  бюджету Сквирської міської територіальної громади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9 місяців 2023 року</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грн.</w:t>
      </w:r>
      <w:r w:rsidDel="00000000" w:rsidR="00000000" w:rsidRPr="00000000">
        <w:rPr>
          <w:rtl w:val="0"/>
        </w:rPr>
      </w:r>
    </w:p>
    <w:tbl>
      <w:tblPr>
        <w:tblStyle w:val="Table1"/>
        <w:tblW w:w="9780.0" w:type="dxa"/>
        <w:jc w:val="left"/>
        <w:tblInd w:w="10.0" w:type="dxa"/>
        <w:tblLayout w:type="fixed"/>
        <w:tblLook w:val="0000"/>
      </w:tblPr>
      <w:tblGrid>
        <w:gridCol w:w="1995"/>
        <w:gridCol w:w="1830"/>
        <w:gridCol w:w="1845"/>
        <w:gridCol w:w="1170"/>
        <w:gridCol w:w="1740"/>
        <w:gridCol w:w="1200"/>
        <w:tblGridChange w:id="0">
          <w:tblGrid>
            <w:gridCol w:w="1995"/>
            <w:gridCol w:w="1830"/>
            <w:gridCol w:w="1845"/>
            <w:gridCol w:w="1170"/>
            <w:gridCol w:w="1740"/>
            <w:gridCol w:w="1200"/>
          </w:tblGrid>
        </w:tblGridChange>
      </w:tblGrid>
      <w:tr>
        <w:trPr>
          <w:cantSplit w:val="0"/>
          <w:trHeight w:val="2280" w:hRule="atLeast"/>
          <w:tblHeader w:val="0"/>
        </w:trPr>
        <w:tc>
          <w:tcPr>
            <w:tcBorders>
              <w:top w:color="000000" w:space="0" w:sz="8" w:val="single"/>
              <w:left w:color="000000" w:space="0" w:sz="8" w:val="single"/>
              <w:bottom w:color="000000" w:space="0" w:sz="0" w:val="nil"/>
              <w:right w:color="000000" w:space="0" w:sz="4" w:val="single"/>
            </w:tcBorders>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tcBorders>
              <w:top w:color="000000" w:space="0" w:sz="8" w:val="single"/>
              <w:left w:color="000000" w:space="0" w:sz="0" w:val="nil"/>
              <w:bottom w:color="000000" w:space="0" w:sz="0" w:val="nil"/>
              <w:right w:color="000000" w:space="0" w:sz="4" w:val="single"/>
            </w:tcBorders>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Уточн план 9 місяців  2023  року</w:t>
            </w:r>
            <w:r w:rsidDel="00000000" w:rsidR="00000000" w:rsidRPr="00000000">
              <w:rPr>
                <w:rtl w:val="0"/>
              </w:rPr>
            </w:r>
          </w:p>
        </w:tc>
        <w:tc>
          <w:tcPr>
            <w:tcBorders>
              <w:top w:color="000000" w:space="0" w:sz="8" w:val="single"/>
              <w:left w:color="000000" w:space="0" w:sz="0" w:val="nil"/>
              <w:bottom w:color="000000" w:space="0" w:sz="0" w:val="nil"/>
              <w:right w:color="000000" w:space="0" w:sz="4" w:val="single"/>
            </w:tcBorders>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Фактичні надходження за 9 місяців 2023  року</w:t>
            </w:r>
            <w:r w:rsidDel="00000000" w:rsidR="00000000" w:rsidRPr="00000000">
              <w:rPr>
                <w:rtl w:val="0"/>
              </w:rPr>
            </w:r>
          </w:p>
        </w:tc>
        <w:tc>
          <w:tcPr>
            <w:tcBorders>
              <w:top w:color="000000" w:space="0" w:sz="8" w:val="single"/>
              <w:left w:color="000000" w:space="0" w:sz="0" w:val="nil"/>
              <w:bottom w:color="000000" w:space="0" w:sz="0" w:val="nil"/>
              <w:right w:color="000000" w:space="0" w:sz="4" w:val="single"/>
            </w:tcBorders>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виконання до  плану за 9 місяців 2023 року</w:t>
            </w:r>
            <w:r w:rsidDel="00000000" w:rsidR="00000000" w:rsidRPr="00000000">
              <w:rPr>
                <w:rtl w:val="0"/>
              </w:rPr>
            </w:r>
          </w:p>
        </w:tc>
        <w:tc>
          <w:tcPr>
            <w:tcBorders>
              <w:top w:color="000000" w:space="0" w:sz="8" w:val="single"/>
              <w:left w:color="000000" w:space="0" w:sz="0" w:val="nil"/>
              <w:bottom w:color="000000" w:space="0" w:sz="0" w:val="nil"/>
              <w:right w:color="000000" w:space="0" w:sz="4" w:val="single"/>
            </w:tcBorders>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Фактичні надходження за 9 місяців 2022  року</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Темп росту факт надх 9 місяців 2023 року до факт надх 2022року</w:t>
            </w:r>
            <w:r w:rsidDel="00000000" w:rsidR="00000000" w:rsidRPr="00000000">
              <w:rPr>
                <w:rtl w:val="0"/>
              </w:rPr>
            </w:r>
          </w:p>
        </w:tc>
      </w:tr>
      <w:tr>
        <w:trPr>
          <w:cantSplit w:val="0"/>
          <w:trHeight w:val="615" w:hRule="atLeast"/>
          <w:tblHeader w:val="0"/>
        </w:trPr>
        <w:tc>
          <w:tcPr>
            <w:tcBorders>
              <w:top w:color="000000" w:space="0" w:sz="8" w:val="single"/>
              <w:left w:color="000000" w:space="0" w:sz="8" w:val="single"/>
              <w:bottom w:color="000000" w:space="0" w:sz="4" w:val="single"/>
              <w:right w:color="000000" w:space="0" w:sz="4" w:val="single"/>
            </w:tcBorders>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з доходів фізичних осіб</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83 001 607,19</w:t>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95 655 016,23 </w:t>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115,2%</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92 448 226,23</w:t>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103,5%</w:t>
            </w:r>
            <w:r w:rsidDel="00000000" w:rsidR="00000000" w:rsidRPr="00000000">
              <w:rPr>
                <w:rtl w:val="0"/>
              </w:rPr>
            </w:r>
          </w:p>
        </w:tc>
      </w:tr>
      <w:tr>
        <w:trPr>
          <w:cantSplit w:val="0"/>
          <w:trHeight w:val="48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землю</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11 168 000,00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14 721 177,23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131,8%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10 056 323,29</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146,4%</w:t>
            </w:r>
            <w:r w:rsidDel="00000000" w:rsidR="00000000" w:rsidRPr="00000000">
              <w:rPr>
                <w:rtl w:val="0"/>
              </w:rPr>
            </w:r>
          </w:p>
        </w:tc>
      </w:tr>
      <w:tr>
        <w:trPr>
          <w:cantSplit w:val="0"/>
          <w:trHeight w:val="435"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Єдиний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26 618 300,00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33 956 110,86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127,6%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24 865 448,44</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136,6%</w:t>
            </w:r>
            <w:r w:rsidDel="00000000" w:rsidR="00000000" w:rsidRPr="00000000">
              <w:rPr>
                <w:rtl w:val="0"/>
              </w:rPr>
            </w:r>
          </w:p>
        </w:tc>
      </w:tr>
      <w:tr>
        <w:trPr>
          <w:cantSplit w:val="0"/>
          <w:trHeight w:val="345"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Акцизний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4 556 000,00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7 964 770,53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174,8%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3 191 032,42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249,6%</w:t>
            </w:r>
            <w:r w:rsidDel="00000000" w:rsidR="00000000" w:rsidRPr="00000000">
              <w:rPr>
                <w:rtl w:val="0"/>
              </w:rPr>
            </w:r>
          </w:p>
        </w:tc>
      </w:tr>
      <w:tr>
        <w:trPr>
          <w:cantSplit w:val="0"/>
          <w:trHeight w:val="63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на нерухоме майно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2 070 900,00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3 158 508,51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152,5%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1 617 115,15</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195,3%</w:t>
            </w:r>
            <w:r w:rsidDel="00000000" w:rsidR="00000000" w:rsidRPr="00000000">
              <w:rPr>
                <w:rtl w:val="0"/>
              </w:rPr>
            </w:r>
          </w:p>
        </w:tc>
      </w:tr>
      <w:tr>
        <w:trPr>
          <w:cantSplit w:val="0"/>
          <w:trHeight w:val="555"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надання адміністративних послуг</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1 157 400,00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1 206 185,02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104,2%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1 217 792,50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99,0%</w:t>
            </w:r>
            <w:r w:rsidDel="00000000" w:rsidR="00000000" w:rsidRPr="00000000">
              <w:rPr>
                <w:rtl w:val="0"/>
              </w:rPr>
            </w:r>
          </w:p>
        </w:tc>
      </w:tr>
      <w:tr>
        <w:trPr>
          <w:cantSplit w:val="0"/>
          <w:trHeight w:val="435" w:hRule="atLeast"/>
          <w:tblHeader w:val="0"/>
        </w:trPr>
        <w:tc>
          <w:tcPr>
            <w:tcBorders>
              <w:top w:color="000000" w:space="0" w:sz="0" w:val="nil"/>
              <w:left w:color="000000" w:space="0" w:sz="8" w:val="single"/>
              <w:bottom w:color="000000" w:space="0" w:sz="8" w:val="single"/>
              <w:right w:color="000000" w:space="0" w:sz="4" w:val="single"/>
            </w:tcBorders>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Інші податки і збори</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1 183 800,00</w:t>
            </w:r>
          </w:p>
        </w:tc>
        <w:tc>
          <w:tcPr>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2 099 505,09</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177,4%</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2 145 599,70</w:t>
            </w:r>
          </w:p>
        </w:tc>
        <w:tc>
          <w:tcPr>
            <w:tcBorders>
              <w:top w:color="000000" w:space="0" w:sz="0" w:val="nil"/>
              <w:left w:color="000000" w:space="0" w:sz="0" w:val="nil"/>
              <w:bottom w:color="000000" w:space="0" w:sz="8" w:val="single"/>
              <w:right w:color="000000" w:space="0" w:sz="8"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97,9%</w:t>
            </w:r>
            <w:r w:rsidDel="00000000" w:rsidR="00000000" w:rsidRPr="00000000">
              <w:rPr>
                <w:rtl w:val="0"/>
              </w:rPr>
            </w:r>
          </w:p>
        </w:tc>
      </w:tr>
      <w:tr>
        <w:trPr>
          <w:cantSplit w:val="0"/>
          <w:trHeight w:val="540" w:hRule="atLeast"/>
          <w:tblHeader w:val="0"/>
        </w:trPr>
        <w:tc>
          <w:tcPr>
            <w:tcBorders>
              <w:top w:color="000000" w:space="0" w:sz="0" w:val="nil"/>
              <w:left w:color="000000" w:space="0" w:sz="8" w:val="single"/>
              <w:bottom w:color="000000" w:space="0" w:sz="0" w:val="nil"/>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Всього доходів (без трансфертів)</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129 756 007,19</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158 761 273,47 </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122,4%</w:t>
            </w: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135 541 537,73</w:t>
            </w:r>
            <w:r w:rsidDel="00000000" w:rsidR="00000000" w:rsidRPr="00000000">
              <w:rPr>
                <w:rtl w:val="0"/>
              </w:rPr>
            </w:r>
          </w:p>
        </w:tc>
        <w:tc>
          <w:tcPr>
            <w:tcBorders>
              <w:top w:color="000000" w:space="0" w:sz="0" w:val="nil"/>
              <w:left w:color="000000" w:space="0" w:sz="4" w:val="single"/>
              <w:bottom w:color="000000" w:space="0" w:sz="0" w:val="nil"/>
              <w:right w:color="000000" w:space="0" w:sz="8"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117,1%</w:t>
            </w: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Базова дотація</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14 656 500,00   </w:t>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14 656 500,00   </w:t>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0,00 </w:t>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0,0%</w:t>
            </w:r>
            <w:r w:rsidDel="00000000" w:rsidR="00000000" w:rsidRPr="00000000">
              <w:rPr>
                <w:rtl w:val="0"/>
              </w:rPr>
            </w:r>
          </w:p>
        </w:tc>
      </w:tr>
      <w:tr>
        <w:trPr>
          <w:cantSplit w:val="0"/>
          <w:trHeight w:val="855"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Додаткова дотація  на здійснення повноважень ОМС</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9 153 900,00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9 153 900,00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0,0%</w:t>
            </w:r>
            <w:r w:rsidDel="00000000" w:rsidR="00000000" w:rsidRPr="00000000">
              <w:rPr>
                <w:rtl w:val="0"/>
              </w:rPr>
            </w:r>
          </w:p>
        </w:tc>
      </w:tr>
      <w:tr>
        <w:trPr>
          <w:cantSplit w:val="0"/>
          <w:trHeight w:val="33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Освітня  субвенція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63 401 400,00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63 401 400,00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68 962 600,00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91,9%</w:t>
            </w:r>
            <w:r w:rsidDel="00000000" w:rsidR="00000000" w:rsidRPr="00000000">
              <w:rPr>
                <w:rtl w:val="0"/>
              </w:rPr>
            </w:r>
          </w:p>
        </w:tc>
      </w:tr>
      <w:tr>
        <w:trPr>
          <w:cantSplit w:val="0"/>
          <w:trHeight w:val="90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Дотація з обласного бюджету  на здійснення переданих видатків</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1 423 503,00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1 423 503,00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1 294 200,00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110,0%</w:t>
            </w:r>
            <w:r w:rsidDel="00000000" w:rsidR="00000000" w:rsidRPr="00000000">
              <w:rPr>
                <w:rtl w:val="0"/>
              </w:rPr>
            </w:r>
          </w:p>
        </w:tc>
      </w:tr>
      <w:tr>
        <w:trPr>
          <w:cantSplit w:val="0"/>
          <w:trHeight w:val="615"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Субвенції з обласного бюджету:</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6 165 293,72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6 165 293,72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1 665 981,00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370%</w:t>
            </w:r>
            <w:r w:rsidDel="00000000" w:rsidR="00000000" w:rsidRPr="00000000">
              <w:rPr>
                <w:rtl w:val="0"/>
              </w:rPr>
            </w:r>
          </w:p>
        </w:tc>
      </w:tr>
      <w:tr>
        <w:trPr>
          <w:cantSplit w:val="0"/>
          <w:trHeight w:val="645"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 виплату грошової компенсації за жилі приміщення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5 188 337,52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5 188 337,52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0,0%</w:t>
            </w:r>
            <w:r w:rsidDel="00000000" w:rsidR="00000000" w:rsidRPr="00000000">
              <w:rPr>
                <w:rtl w:val="0"/>
              </w:rPr>
            </w:r>
          </w:p>
        </w:tc>
      </w:tr>
      <w:tr>
        <w:trPr>
          <w:cantSplit w:val="0"/>
          <w:trHeight w:val="585" w:hRule="atLeast"/>
          <w:tblHeader w:val="0"/>
        </w:trPr>
        <w:tc>
          <w:tcPr>
            <w:tcBorders>
              <w:top w:color="000000" w:space="0" w:sz="0" w:val="nil"/>
              <w:left w:color="000000" w:space="0" w:sz="8" w:val="single"/>
              <w:bottom w:color="000000" w:space="0" w:sz="0" w:val="nil"/>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здійснення переданих видатків у сфері освіти</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598 730,00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598 730,00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1 356 378,00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44%</w:t>
            </w:r>
            <w:r w:rsidDel="00000000" w:rsidR="00000000" w:rsidRPr="00000000">
              <w:rPr>
                <w:rtl w:val="0"/>
              </w:rPr>
            </w:r>
          </w:p>
        </w:tc>
      </w:tr>
      <w:tr>
        <w:trPr>
          <w:cantSplit w:val="0"/>
          <w:trHeight w:val="1170" w:hRule="atLeast"/>
          <w:tblHeader w:val="0"/>
        </w:trPr>
        <w:tc>
          <w:tcPr>
            <w:tcBorders>
              <w:top w:color="000000" w:space="0" w:sz="4" w:val="single"/>
              <w:left w:color="000000" w:space="0" w:sz="8" w:val="single"/>
              <w:bottom w:color="000000" w:space="0" w:sz="0" w:val="nil"/>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надання державної підтримки особам з особливими освітніми потребами</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319 374,00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319 374,00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309 603,00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103%</w:t>
            </w:r>
            <w:r w:rsidDel="00000000" w:rsidR="00000000" w:rsidRPr="00000000">
              <w:rPr>
                <w:rtl w:val="0"/>
              </w:rPr>
            </w:r>
          </w:p>
        </w:tc>
      </w:tr>
      <w:tr>
        <w:trPr>
          <w:cantSplit w:val="0"/>
          <w:trHeight w:val="1065" w:hRule="atLeast"/>
          <w:tblHeader w:val="0"/>
        </w:trPr>
        <w:tc>
          <w:tcPr>
            <w:tcBorders>
              <w:top w:color="000000" w:space="0" w:sz="4" w:val="single"/>
              <w:left w:color="000000" w:space="0" w:sz="8" w:val="single"/>
              <w:bottom w:color="000000" w:space="0" w:sz="0" w:val="nil"/>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виконання окремих заходів з реалізації проєкту "Активні парки"</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58 852,20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58 852,20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0,0%</w:t>
            </w:r>
            <w:r w:rsidDel="00000000" w:rsidR="00000000" w:rsidRPr="00000000">
              <w:rPr>
                <w:rtl w:val="0"/>
              </w:rPr>
            </w:r>
          </w:p>
        </w:tc>
      </w:tr>
      <w:tr>
        <w:trPr>
          <w:cantSplit w:val="0"/>
          <w:trHeight w:val="660" w:hRule="atLeast"/>
          <w:tblHeader w:val="0"/>
        </w:trPr>
        <w:tc>
          <w:tcPr>
            <w:tcBorders>
              <w:top w:color="000000" w:space="0" w:sz="4" w:val="single"/>
              <w:left w:color="000000" w:space="0" w:sz="8" w:val="single"/>
              <w:bottom w:color="000000" w:space="0" w:sz="8"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Інші субвенції (Фурсівська СТГ)</w:t>
            </w:r>
            <w:r w:rsidDel="00000000" w:rsidR="00000000" w:rsidRPr="00000000">
              <w:rPr>
                <w:rtl w:val="0"/>
              </w:rPr>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99 801,00   </w:t>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99 801,00   </w:t>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100 000,00   </w:t>
            </w:r>
          </w:p>
        </w:tc>
        <w:tc>
          <w:tcPr>
            <w:tcBorders>
              <w:top w:color="000000" w:space="0" w:sz="0" w:val="nil"/>
              <w:left w:color="000000" w:space="0" w:sz="0" w:val="nil"/>
              <w:bottom w:color="000000" w:space="0" w:sz="8" w:val="single"/>
              <w:right w:color="000000" w:space="0" w:sz="8"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r>
      <w:tr>
        <w:trPr>
          <w:cantSplit w:val="0"/>
          <w:trHeight w:val="480" w:hRule="atLeast"/>
          <w:tblHeader w:val="0"/>
        </w:trPr>
        <w:tc>
          <w:tcPr>
            <w:tcBorders>
              <w:top w:color="000000" w:space="0" w:sz="0" w:val="nil"/>
              <w:left w:color="000000" w:space="0" w:sz="8" w:val="single"/>
              <w:bottom w:color="000000" w:space="0" w:sz="8" w:val="single"/>
              <w:right w:color="000000" w:space="0" w:sz="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Всього трансфертів</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94 900 397,72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94 900 397,72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100%</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72 022 781,00   </w:t>
            </w: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131,8%</w:t>
            </w:r>
            <w:r w:rsidDel="00000000" w:rsidR="00000000" w:rsidRPr="00000000">
              <w:rPr>
                <w:rtl w:val="0"/>
              </w:rPr>
            </w:r>
          </w:p>
        </w:tc>
      </w:tr>
      <w:tr>
        <w:trPr>
          <w:cantSplit w:val="0"/>
          <w:trHeight w:val="600" w:hRule="atLeast"/>
          <w:tblHeader w:val="0"/>
        </w:trPr>
        <w:tc>
          <w:tcPr>
            <w:tcBorders>
              <w:top w:color="000000" w:space="0" w:sz="0" w:val="nil"/>
              <w:left w:color="000000" w:space="0" w:sz="8" w:val="single"/>
              <w:bottom w:color="000000" w:space="0" w:sz="8"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Всього доходів з трансфертами</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224 656 404,91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253 661 671,19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112,9%</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207 564 318,73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122,2%</w:t>
            </w:r>
            <w:r w:rsidDel="00000000" w:rsidR="00000000" w:rsidRPr="00000000">
              <w:rPr>
                <w:rtl w:val="0"/>
              </w:rPr>
            </w:r>
          </w:p>
        </w:tc>
      </w:tr>
    </w:tb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на доходи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фізичних осіб. Фактичні надходження  цього податку за 9 місяців 2023 року складають 95 655 016,23 гривень , що становить 115,2 відсотка до  плану на відповідний період. Порівняно до  надходжень 2022 року сума надходжень по податку з доходів фізичних осіб збільшилась  на 3 553 177,23 гривень.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податку на доходи фізичних осіб найбільшу питому вагу займає податок на доходи  фізичних осіб, що сплачується із заробітної плати – 74,2 відсотки. Виконання планових показників 9 місяців 2023 року по цьому виду податку становить 105,7 відсотків. Порівняно з  надходженнями 2022 року</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сума надходжень по цьому виду податку  збільшилась на 677 693,43 гривень. Темп росту фактичних надходжень за 9 місяців 2023 року до надходжень відповідного періоду 2022 року становить 101,0 відсоток.</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Порівняльна таблиця надходжень ПДФО із заробітної плати  по найбільших платниках за 9 місяців 2023 року та відповідних надходжень  2022 року</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2"/>
        <w:tblW w:w="9346.0" w:type="dxa"/>
        <w:jc w:val="left"/>
        <w:tblInd w:w="10.0" w:type="dxa"/>
        <w:tblLayout w:type="fixed"/>
        <w:tblLook w:val="0000"/>
      </w:tblPr>
      <w:tblGrid>
        <w:gridCol w:w="960"/>
        <w:gridCol w:w="2999"/>
        <w:gridCol w:w="1701"/>
        <w:gridCol w:w="1843"/>
        <w:gridCol w:w="1843"/>
        <w:tblGridChange w:id="0">
          <w:tblGrid>
            <w:gridCol w:w="960"/>
            <w:gridCol w:w="2999"/>
            <w:gridCol w:w="1701"/>
            <w:gridCol w:w="1843"/>
            <w:gridCol w:w="1843"/>
          </w:tblGrid>
        </w:tblGridChange>
      </w:tblGrid>
      <w:tr>
        <w:trPr>
          <w:cantSplit w:val="0"/>
          <w:trHeight w:val="96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9 місяців 2022 року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9 місяців2023 року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639"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МР</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10338719,7</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9674853,33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-663 866,37</w:t>
            </w:r>
          </w:p>
        </w:tc>
      </w:tr>
      <w:tr>
        <w:trPr>
          <w:cantSplit w:val="0"/>
          <w:trHeight w:val="467"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фірма Грона</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6320002,34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7447733,27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1 127 730,93</w:t>
            </w:r>
          </w:p>
        </w:tc>
      </w:tr>
      <w:tr>
        <w:trPr>
          <w:cantSplit w:val="0"/>
          <w:trHeight w:val="349"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6271582,16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6291244,88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19 662,72</w:t>
            </w:r>
          </w:p>
        </w:tc>
      </w:tr>
      <w:tr>
        <w:trPr>
          <w:cantSplit w:val="0"/>
          <w:trHeight w:val="855"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Охорона здоров'я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(КНП СМР СКВИРСЬКА ЦМЛ; КНП СМР СКВИРСЬКИЙ МЦПМСД)</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4918803,29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4126756,65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-792 046,64</w:t>
            </w:r>
          </w:p>
        </w:tc>
      </w:tr>
      <w:tr>
        <w:trPr>
          <w:cantSplit w:val="0"/>
          <w:trHeight w:val="413"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АФ Розволожжя</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2504985,6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2930505,6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425 520,00</w:t>
            </w:r>
          </w:p>
        </w:tc>
      </w:tr>
      <w:tr>
        <w:trPr>
          <w:cantSplit w:val="0"/>
          <w:trHeight w:val="525" w:hRule="atLeast"/>
          <w:tblHeader w:val="0"/>
        </w:trPr>
        <w:tc>
          <w:tcPr>
            <w:tcBorders>
              <w:top w:color="000000" w:space="0" w:sz="0" w:val="nil"/>
              <w:left w:color="000000" w:space="0" w:sz="8" w:val="single"/>
              <w:bottom w:color="000000" w:space="0" w:sz="0" w:val="nil"/>
              <w:right w:color="000000" w:space="0" w:sz="8" w:val="single"/>
            </w:tcBorders>
            <w:shd w:fill="auto" w:val="clear"/>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0" w:val="nil"/>
              <w:right w:color="000000" w:space="0" w:sz="8" w:val="single"/>
            </w:tcBorders>
            <w:shd w:fill="ffffff" w:val="clear"/>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0" w:val="nil"/>
              <w:right w:color="000000" w:space="0" w:sz="8" w:val="single"/>
            </w:tcBorders>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2544652,84</w:t>
            </w:r>
          </w:p>
        </w:tc>
        <w:tc>
          <w:tcPr>
            <w:tcBorders>
              <w:top w:color="000000" w:space="0" w:sz="0" w:val="nil"/>
              <w:left w:color="000000" w:space="0" w:sz="0" w:val="nil"/>
              <w:bottom w:color="000000" w:space="0" w:sz="0" w:val="nil"/>
              <w:right w:color="000000" w:space="0" w:sz="8" w:val="single"/>
            </w:tcBorders>
            <w:vAlign w:val="cente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2723526,55</w:t>
            </w:r>
          </w:p>
        </w:tc>
        <w:tc>
          <w:tcPr>
            <w:tcBorders>
              <w:top w:color="000000" w:space="0" w:sz="0" w:val="nil"/>
              <w:left w:color="000000" w:space="0" w:sz="0" w:val="nil"/>
              <w:bottom w:color="000000" w:space="0" w:sz="0" w:val="nil"/>
              <w:right w:color="000000" w:space="0" w:sz="8" w:val="single"/>
            </w:tcBorders>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178 873,71</w:t>
            </w:r>
          </w:p>
        </w:tc>
      </w:tr>
      <w:tr>
        <w:trPr>
          <w:cantSplit w:val="0"/>
          <w:trHeight w:val="321" w:hRule="atLeast"/>
          <w:tblHeader w:val="0"/>
        </w:trPr>
        <w:tc>
          <w:tcPr>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8" w:val="single"/>
              <w:left w:color="000000" w:space="0" w:sz="0" w:val="nil"/>
              <w:bottom w:color="000000" w:space="0" w:sz="8" w:val="single"/>
              <w:right w:color="000000" w:space="0" w:sz="4" w:val="single"/>
            </w:tcBorders>
            <w:shd w:fill="ffffff" w:val="clear"/>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СКВИРАТЕКС</w:t>
            </w:r>
          </w:p>
        </w:tc>
        <w:tc>
          <w:tcPr>
            <w:tcBorders>
              <w:top w:color="000000" w:space="0" w:sz="8" w:val="single"/>
              <w:left w:color="000000" w:space="0" w:sz="0" w:val="nil"/>
              <w:bottom w:color="000000" w:space="0" w:sz="8" w:val="single"/>
              <w:right w:color="000000" w:space="0" w:sz="4" w:val="single"/>
            </w:tcBorders>
            <w:vAlign w:val="cente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1544646,29</w:t>
            </w:r>
          </w:p>
        </w:tc>
        <w:tc>
          <w:tcPr>
            <w:tcBorders>
              <w:top w:color="000000" w:space="0" w:sz="8" w:val="single"/>
              <w:left w:color="000000" w:space="0" w:sz="0" w:val="nil"/>
              <w:bottom w:color="000000" w:space="0" w:sz="8" w:val="single"/>
              <w:right w:color="000000" w:space="0" w:sz="4" w:val="single"/>
            </w:tcBorders>
            <w:vAlign w:val="cente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2262123,78</w:t>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717 477,49</w:t>
            </w:r>
          </w:p>
        </w:tc>
      </w:tr>
      <w:tr>
        <w:trPr>
          <w:cantSplit w:val="0"/>
          <w:trHeight w:val="455"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w:t>
            </w:r>
            <w:r w:rsidDel="00000000" w:rsidR="00000000" w:rsidRPr="00000000">
              <w:rPr>
                <w:sz w:val="24"/>
                <w:szCs w:val="24"/>
                <w:rtl w:val="0"/>
              </w:rPr>
              <w:t xml:space="preserve">міська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рада</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2226480,58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2142368,76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-84 111,82</w:t>
            </w:r>
          </w:p>
        </w:tc>
      </w:tr>
      <w:tr>
        <w:trPr>
          <w:cantSplit w:val="0"/>
          <w:trHeight w:val="520"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1835548,86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2050880,25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215 331,39</w:t>
            </w:r>
          </w:p>
        </w:tc>
      </w:tr>
      <w:tr>
        <w:trPr>
          <w:cantSplit w:val="0"/>
          <w:trHeight w:val="465"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38 505 421,66</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39 649 993,07</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1 144 571,41</w:t>
            </w:r>
            <w:r w:rsidDel="00000000" w:rsidR="00000000" w:rsidRPr="00000000">
              <w:rPr>
                <w:rtl w:val="0"/>
              </w:rPr>
            </w:r>
          </w:p>
        </w:tc>
      </w:tr>
    </w:tb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Зменшення за 9 місяців 2023 року надходжень податку на доходи фізичних осіб із заробітної плати від відділу освіти спричинене оптимізацією та скороченням працівників згідно з  перспективним  планом формування мережі закладів освіти Сквирської міської територіальної громади на 2022 -2024 роки».</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Зменшення надходжень від КНП СМР Сквирський МЦПМСД та КНП СМР Сквирська ЦМЛ спричинене оптимізацією та скороченням кількості штатних одиниць.</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Зменшились надходження по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за  9 місяців</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порівняно з надходженнями відповідного періоду 2022 року на 2 030 171,35 гривень. По Київському обласному військовому комісаріату зменшення на 515 537,0 гривень; 12 ДПРЗ зменшення на 135 032,72 гривень; ГУНП в Київській області зменшення на 1 379 017,73 гривень.</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202124"/>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податку на доходи фізичних осіб, що сплачується податковими агентами, із доходів платника податку інших ніж заробітна плата спостерігається збільшення надходжень за 9 місяців 2023 року порівняно з надходженнями відповідного періоду 2022 року на 4 527 225,18 гривень. Надходження за 9 місяців 2023 року склали 17 644 723,28 гривень в тому числі податок утриманий з орендної плати за земельні частки (паї) – 9 164 775,94 гривень,  податок утриманий із сплати дивідендів – 5 568 250,40 гривень, податок утриманий із згенерованої  </w:t>
      </w:r>
      <w:r w:rsidDel="00000000" w:rsidR="00000000" w:rsidRPr="00000000">
        <w:rPr>
          <w:rFonts w:ascii="Times New Roman" w:cs="Times New Roman" w:eastAsia="Times New Roman" w:hAnsi="Times New Roman"/>
          <w:b w:val="0"/>
          <w:i w:val="0"/>
          <w:smallCaps w:val="0"/>
          <w:strike w:val="0"/>
          <w:color w:val="202124"/>
          <w:sz w:val="28"/>
          <w:szCs w:val="28"/>
          <w:highlight w:val="white"/>
          <w:u w:val="none"/>
          <w:vertAlign w:val="baseline"/>
          <w:rtl w:val="0"/>
        </w:rPr>
        <w:t xml:space="preserve">“зеленої” енергії – 2 778 519,45 гривень.</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по платі за землю за 9 місяців</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складають 14 721 177,23 гривень, що становить 131,8 відсотки до  плану на відповідний період. Порівняно з  надходженнями 2022 року   сума надходжень по платі за землю  збільшилась   на 4 664 853,94 гривень. Згідно з інформацією ГУДПС у Київській області, отриманою через ІТС «Електронний кабінет», надміру сплачена сума по платі за землю станом на 01.10.2023 року складає 1 531 900,86 гривень, а податковий борг – 3 397 097,01 гривень.</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землю складається із земельного податку з юридичних осіб – питома вага у структурі плати за землю – 11,6 відсотка; орендна плата з юридичних осіб – 52,1 відсотка; земельний податок з фізичних осіб – 26,5 відсотки; орендна плата з фізичних осіб – 9,8 відсотка.</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плати за землю найбільшу питому вагу займає орендна плата з юридичних осіб. Фактичні надходження цього податку за 9 місяців 2023 року становлять 7 675 294,07 гривень. Порівняно з  надходженнями 2022 року сума надходжень по орендній платі з юридичних осіб збільшилась на 503 146,17 гривень. Станом на 01.10.2023 року надміру сплачена сума цього податку складає 782 015,93 гривень, податковий борг – 193 610,93 гривень.</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орендної плати за землю  по найбільших платниках за 9 місяців 2023 року та відповідних надходжень за 2022 рік</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i w:val="1"/>
          <w:sz w:val="28"/>
          <w:szCs w:val="28"/>
          <w:rtl w:val="0"/>
        </w:rPr>
        <w:t xml:space="preserve">г</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рн.</w:t>
      </w:r>
      <w:r w:rsidDel="00000000" w:rsidR="00000000" w:rsidRPr="00000000">
        <w:rPr>
          <w:rtl w:val="0"/>
        </w:rPr>
      </w:r>
    </w:p>
    <w:tbl>
      <w:tblPr>
        <w:tblStyle w:val="Table3"/>
        <w:tblW w:w="9351.0" w:type="dxa"/>
        <w:jc w:val="left"/>
        <w:tblInd w:w="5.0" w:type="dxa"/>
        <w:tblLayout w:type="fixed"/>
        <w:tblLook w:val="0000"/>
      </w:tblPr>
      <w:tblGrid>
        <w:gridCol w:w="960"/>
        <w:gridCol w:w="2721"/>
        <w:gridCol w:w="1984"/>
        <w:gridCol w:w="2127"/>
        <w:gridCol w:w="1559"/>
        <w:tblGridChange w:id="0">
          <w:tblGrid>
            <w:gridCol w:w="960"/>
            <w:gridCol w:w="2721"/>
            <w:gridCol w:w="1984"/>
            <w:gridCol w:w="2127"/>
            <w:gridCol w:w="1559"/>
          </w:tblGrid>
        </w:tblGridChange>
      </w:tblGrid>
      <w:tr>
        <w:trPr>
          <w:cantSplit w:val="0"/>
          <w:trHeight w:val="94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місяців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9 місяців 2023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1 123 610,00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1286344,00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162 734,00</w:t>
            </w:r>
          </w:p>
        </w:tc>
      </w:tr>
      <w:tr>
        <w:trPr>
          <w:cantSplit w:val="0"/>
          <w:trHeight w:val="29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899 656,43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1059067,91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159 411,48</w:t>
            </w:r>
          </w:p>
        </w:tc>
      </w:tr>
      <w:tr>
        <w:trPr>
          <w:cantSplit w:val="0"/>
          <w:trHeight w:val="358"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Шамраївське</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299 624,84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522329,17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222 704,33</w:t>
            </w:r>
          </w:p>
        </w:tc>
      </w:tr>
      <w:tr>
        <w:trPr>
          <w:cantSplit w:val="0"/>
          <w:trHeight w:val="32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ім.Гагаріна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778 713,50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410262,6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-368 450,90</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307 087,77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329686,61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22 598,84</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299 636,86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309645,47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10 008,61</w:t>
            </w:r>
          </w:p>
        </w:tc>
      </w:tr>
      <w:tr>
        <w:trPr>
          <w:cantSplit w:val="0"/>
          <w:trHeight w:val="36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СУПП Контекс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71 281,70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260174,35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188 892,65</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ВП Агро Капітал</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174 166,68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239478,97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65 312,29</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Грона-партнер</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183 220,39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223127,95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39 907,56</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Агрофірма Колос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195 200,00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174846,39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-20 353,61</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Пустоварівський Колос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135 154,99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174846,39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39 691,40</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Олвія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56 908,48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171988,18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115 079,70</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4 467 353,16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4 467 353,16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637 536,35</w:t>
            </w:r>
            <w:r w:rsidDel="00000000" w:rsidR="00000000" w:rsidRPr="00000000">
              <w:rPr>
                <w:rtl w:val="0"/>
              </w:rPr>
            </w:r>
          </w:p>
        </w:tc>
      </w:tr>
    </w:tbl>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Зменшення надходжень орендної плати від СГ ПП ім. Гагаріна спричинене сплатою цього податку 2022 році за попередні періоди. Станом на 01.09.2023 року переплата складає 225 324,26 гривень.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юридичних осіб за 9 місяців  2023 року  складають 1 714 648,83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116,8 відсотків до планових показників  та на 296 327,39 гривень більше фактичних надходжень відповідного періоду 2022 року. Станом на 01.10.2023 року надміру сплачена сума цього податку складає 124 554,72 гривень, податковий борг – 333 607,20 гривень.</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орендної плати за землю з фізичних осіб за 9 місяців 2023 року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1 436 618,67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108,1 відсоток виконання планових показників. Надходження 9 місяців 2023 року більші за надходження відповідного періоду 2022 року на 35 551,55 гривень. Станом на 01.10.2023 року надміру сплачена сума цього податку складає 252 080,89 гривень, податковий борг – 113 584,26 гривень.</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фізичних осіб за 9 місяців 2023 року склали 3 894 615,66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У зв’язку із воєнним станом, нарахування земельного податку фізичним особам  здійснювалось наприкінці 2022 року. Збільшення надходжень за 9 місяців 2023 року спричинене сплатою цього податку за 2022 рік у 2023 році. Станом на 01.10.2023 року надміру сплачена сума цього податку складає 373 249,32 гривень, податковий борг – 3 089 901,82 гривень.</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єдиного податку за 9 місяців 2023 року склали 33 956 110,86 гривень, що становить 127,6 відсотків до плану на відповідний період та на 9 090 662,42 гривень більше фактичних надходжень відповідного періоду  2022 року. Згідно з інформацією ГУ ДПС у Київській області, отриманою через ІТС «Електронний кабінет», надміру сплачена сума єдиного податку станом на 01.10.2023 року складає 3 653 422,42 гривень, а податковий борг – 844 201,36 гривень.</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Єдиний податок з фізичних осіб  займає найбільшу питому вагу у структурі єдиного податку. Фактичні надходження цього податку за 9 місяців 2023 року склали 14 472 234,86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108,7 відсотків  до планових показників на відповідний період та більше фактичних надходжень 9 місяців 2022 року на 353 907,0 гривень. Станом на 01.10.2023 року надміру сплачена сума цього податку складає 1 254 941,28 гривень, податковий борг – 709 762,49 гривень.</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єдиному податку з сільськогосподарських товаровиробників надходження за 9 місяців 2023 року склали 13 944 862,40 гривень що становить 141,6 відсотки  до планових показників  та на 5 774 203,63 гривень більше фактичних надходжень   відповідного періоду 2022 року. </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єдиного податку з сільськогосподарських товаровиробників по найбільших платниках за 9 місяців 2023 року та відповідних надходжень  2022 року</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4"/>
        <w:tblW w:w="9346.0" w:type="dxa"/>
        <w:jc w:val="left"/>
        <w:tblInd w:w="10.0" w:type="dxa"/>
        <w:tblLayout w:type="fixed"/>
        <w:tblLook w:val="0000"/>
      </w:tblPr>
      <w:tblGrid>
        <w:gridCol w:w="960"/>
        <w:gridCol w:w="2716"/>
        <w:gridCol w:w="1984"/>
        <w:gridCol w:w="1985"/>
        <w:gridCol w:w="1701"/>
        <w:tblGridChange w:id="0">
          <w:tblGrid>
            <w:gridCol w:w="960"/>
            <w:gridCol w:w="2716"/>
            <w:gridCol w:w="1984"/>
            <w:gridCol w:w="1985"/>
            <w:gridCol w:w="1701"/>
          </w:tblGrid>
        </w:tblGridChange>
      </w:tblGrid>
      <w:tr>
        <w:trPr>
          <w:cantSplit w:val="0"/>
          <w:trHeight w:val="96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9 місяців 2022 року</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9 місяців 2023 року</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330"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627 000,00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1815000,00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1188000,00</w:t>
            </w:r>
          </w:p>
        </w:tc>
      </w:tr>
      <w:tr>
        <w:trPr>
          <w:cantSplit w:val="0"/>
          <w:trHeight w:val="622"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1 396 272,14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1 425 192,29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28 920,15</w:t>
            </w:r>
          </w:p>
        </w:tc>
      </w:tr>
      <w:tr>
        <w:trPr>
          <w:cantSplit w:val="0"/>
          <w:trHeight w:val="560"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Агрофірма Розволожжя</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333 405,90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810 202,17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476 796,27</w:t>
            </w:r>
          </w:p>
        </w:tc>
      </w:tr>
      <w:tr>
        <w:trPr>
          <w:cantSplit w:val="0"/>
          <w:trHeight w:val="398"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ПНВФ "ЮНІС"</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138 001,48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412 118,87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274 117,39</w:t>
            </w:r>
          </w:p>
        </w:tc>
      </w:tr>
      <w:tr>
        <w:trPr>
          <w:cantSplit w:val="0"/>
          <w:trHeight w:val="263"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Новагрос</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513 007,28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375 455,41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-137 551,87</w:t>
            </w:r>
          </w:p>
        </w:tc>
      </w:tr>
      <w:tr>
        <w:trPr>
          <w:cantSplit w:val="0"/>
          <w:trHeight w:val="381"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Крокус</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36 937,42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367 350,17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330 412,75</w:t>
            </w:r>
          </w:p>
        </w:tc>
      </w:tr>
      <w:tr>
        <w:trPr>
          <w:cantSplit w:val="0"/>
          <w:trHeight w:val="414"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АГРО АС</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40 876,78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254 215,06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213 338,28</w:t>
            </w:r>
          </w:p>
        </w:tc>
      </w:tr>
      <w:tr>
        <w:trPr>
          <w:cantSplit w:val="0"/>
          <w:trHeight w:val="407"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ДП "Кліринг-Агро"</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250 230,00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252 100,00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1 870,00</w:t>
            </w:r>
          </w:p>
        </w:tc>
      </w:tr>
      <w:tr>
        <w:trPr>
          <w:cantSplit w:val="0"/>
          <w:trHeight w:val="399"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ПСП Україна</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97 816,22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244 863,32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147 047,10</w:t>
            </w:r>
          </w:p>
        </w:tc>
      </w:tr>
      <w:tr>
        <w:trPr>
          <w:cantSplit w:val="0"/>
          <w:trHeight w:val="40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ім. Шевченка</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178 666,68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222 628,07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43 961,39</w:t>
            </w:r>
          </w:p>
        </w:tc>
      </w:tr>
      <w:tr>
        <w:trPr>
          <w:cantSplit w:val="0"/>
          <w:trHeight w:val="268"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Оріховецьке</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323 855,13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273 859,86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-49 995,27</w:t>
            </w:r>
          </w:p>
        </w:tc>
      </w:tr>
      <w:tr>
        <w:trPr>
          <w:cantSplit w:val="0"/>
          <w:trHeight w:val="387"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601 346,99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200 000,00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-401 346,99</w:t>
            </w:r>
          </w:p>
        </w:tc>
      </w:tr>
      <w:tr>
        <w:trPr>
          <w:cantSplit w:val="0"/>
          <w:trHeight w:val="510"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4 537 416,02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6 652 985,22</w:t>
            </w:r>
            <w:r w:rsidDel="00000000" w:rsidR="00000000" w:rsidRPr="00000000">
              <w:rPr>
                <w:rtl w:val="0"/>
              </w:rPr>
            </w:r>
          </w:p>
        </w:tc>
        <w:tc>
          <w:tcPr>
            <w:tcBorders>
              <w:top w:color="000000" w:space="0" w:sz="4" w:val="single"/>
              <w:left w:color="000000" w:space="0" w:sz="4" w:val="single"/>
              <w:bottom w:color="000000" w:space="0" w:sz="8" w:val="single"/>
              <w:right w:color="000000" w:space="0" w:sz="8" w:val="single"/>
            </w:tcBorders>
            <w:vAlign w:val="cente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2 115 569,20</w:t>
            </w:r>
            <w:r w:rsidDel="00000000" w:rsidR="00000000" w:rsidRPr="00000000">
              <w:rPr>
                <w:rtl w:val="0"/>
              </w:rPr>
            </w:r>
          </w:p>
        </w:tc>
      </w:tr>
    </w:tbl>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Станом на 01.10.2023 року надміру сплачена сума цього податку складає 1 901 457,95 гривень, а податковий борг – 107 606,19 гривень.</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єдиного податку  з юридичних осіб за 9 місяців  2023 року складають 5 539 013,60  гривень, що становить 160,4 відсотки виконання планових показників.  Надходження за 9 місяців 2023 року збільшились на 2 962 551,79 гривень порівняно з надходженнями відповідного періоду 2022 року. Надміру сплачена сума єдиного податку з</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юридичних осіб станом на 01.09.2023 року складає 497 363,19 гривень, податковий борг – 26 832,68 гривень.</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податку на нерухоме майно, відмінне від земельної ділянки склали 3 158 508,51 гривень, що становить 152,5 відсотки  виконання планових призначень та більше на 1 541 393,36 гривень надходжень відповідного періоду 2022 року. Згідно з інформацією ГУ ДПС у Київській області, отриманою через ІТС «Електронний кабінет», надміру сплачена сума по податку на нерухоме майно, відмінне від земельної ділянки, станом на 01.10.2023 року складає 455 530,80 гривень, а податковий борг – 1 191 910,62 гривень.</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Транспортний податок за 9 місяців 2023 року надійшов в сумі 97 916,67 гривень. Платниками цього податку є Книш С.А., Книш М.С.,ПП Новагрос та ПП Росава-Агро.</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Внутрішні податки на товари та послуги ( акцизний податок) надійшли в сумі 7 964 770,53 гривень, що більше на 4 773 738,11  грн за надходження 9 місяців 2022 року. </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плати за надання адміністративних послуг за 9 місяців 2023 рік склали 1 206 185,02 гривень, що становить 104,2 відсотки виконання планових показників.</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адміністративних штрафів та санкцій за 9 місяців 2023 року склали 207 094,34 гривень.</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встановлення земельного сервітуту за 9 місяців 2023 року складає 15 898,94 гривень.</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від орендної плати за користування цілісним майновим комплексом за 9 місяців 2023 року склали 682 415,97 гривень, що на 173 587,83 гривень більше за надходження відповідного періоду 2022 року.</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Податок на прибуток за 9 місяців 2023 року склав  20 077,99 гривень. Платниками цього податку є редакція газети «Вісник Сквирщини» - 1 686,0 гривень, КП Сквираблагоустрій – 8 706,0 гривень та КП СМР Сквирська центральна аптека № 25 – 9685,99 гривень.</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Рентна плата за 9 місяців 2023 року склала 313 608,80 гривень. Виконання планових показників цього податку складає 152,4 відсотки.</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мито надійшло  в сумі 481 222,28 гривень.</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Орендна плата за водні об’єкти  склала 11 510,86 гривень.</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et92p0"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неподаткові надходження надійшли в сумі 269 759,24 гривень.</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9 місяців 2023 року надійшли трансферти в сумі 94 900 397,72 гривень. Обсяг міжбюджетних трансфертів за 9 місяців 2023 року збільшився  на 22 877 616,72 гривень.</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державного бюджету надійшли трансферти в сумі 87 211 800,0 гривень: </w:t>
      </w:r>
    </w:p>
    <w:p w:rsidR="00000000" w:rsidDel="00000000" w:rsidP="00000000" w:rsidRDefault="00000000" w:rsidRPr="00000000" w14:paraId="000001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освітня субвенція в сумі 63 401 400,0 гривень, що менше порівняно із обсягом освітньої субвенції за 9 місяців  2022 року на 5 561 200,0   гривень; </w:t>
      </w:r>
    </w:p>
    <w:p w:rsidR="00000000" w:rsidDel="00000000" w:rsidP="00000000" w:rsidRDefault="00000000" w:rsidRPr="00000000" w14:paraId="0000017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базова дотація – 14 656 500,0 гривень;</w:t>
      </w:r>
    </w:p>
    <w:p w:rsidR="00000000" w:rsidDel="00000000" w:rsidP="00000000" w:rsidRDefault="00000000" w:rsidRPr="00000000" w14:paraId="000001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додаткова дотація на здійснення повноважень органів місцевого самоврядування – 9 153 900,0 гривень.</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Дотація з обласного бюджету на здійснення переданих з державного бюджету видатків з утримання закладів освіти та охорони здоров’я складає  1 423 503,0 гривень, що більше надходжень 2022 року на 129 303,0 гривень.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Субвенції з місцевих бюджетів  складають 6 265 094,72 гривень, що більше надходжень 2022 року на 4 499 113,72 гривень. </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спеціального фонду  бюджету громади за 9 місяців 2023 року фактично надійшло 20 255 490,81 гривень. За січень-вересень 2023 року по спеціальному фонду було уточнено 15 189 739,34 гривень планових показників згідно з надходженнями бюджету розвитку від продажу основного капіталу.</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спеціального фонду складаються з екологічного податку – 179 944,69 гривень, грошових стягнень за шкоду – 70 595,22 грн, власних надходжень бюджетних установ – 3 726 782,85 грн та доходів від операцій з капіталом – 16 278 168,05 грн.</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доходів від операцій з капіталом належать кошти від відчуження майна – 11 132 761,0 гривень (платники: Тодорова Т.В. -10 000 001,0 грн, Янчук В.І. – 750 000,0 грн, Тертична О. М. – 366 680,0 грн, реєстраційні внески – 16 080,0 грн) та кошти від викупу земельних ділянок сільськогосподарського призначення – 5 145 407,05 грн (платники: Чиж А.М.- 158 580,0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Лавренюк Г.В. – 303 182,82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Ткачук С.Л.- 1 235 065,17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Мелашенко М.В. – 927 161,72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Максименко В.Д.- 49 174,51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Титарчук Л.В. – 1 495 776,6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Скиба Б.В. – 110 305,80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Франчук О.Л.- 135 603,0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Тишкевич О.В. – 161 231,40 грн, Приндюк А.М. – 569 326,03 грн). </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Видатки</w:t>
      </w: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видаткову частину загального фонду бюджету Сквирської міської  територіальної громади протягом 9 місяців 2023 року спрямовано коштів загального фонду на суму 194 931 819,66 гривень, що на 3 895 105,52 гривень більше, ніж за аналогічний період 2022 року та становить 88,3% до бюджетних призначень звітного періоду, а саме:</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виплату заробітної плати з нарахуваннями працівникам бюджетних установ громади спрямовано кошти в сумі 152 725 875,31 грн, що становить 78,3 відсотка загального обсягу видатків за звітний період;</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проведення розрахунків за спожиті енергоносії та оплату комунальних послуг – 19 692 976,19 грн або 10,1 відсотка від загального обсягу видатків;</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медикаменти та перев’язувальні 104 180,54 гривень;</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продукти харчування використано 1 481 484,32 гривень (0,8 відсотка);</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виплати населення склали 3 243 499,60 гривень (1,7 відсотка);</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17 683 803,70 грн, що становить 9,1 відсотка.</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Галузева структура використання бюджетних коштів має наступний вигляд:</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управління займає 13,4 відсотка від загального обсягу видатків (26 064 872,39 гривень);</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-освіта займає 64,3 відсотка від загального обсягу видатків (125 322 112,84 гривень);</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-охорона здоров’я – 4,3 відсотка (8 445 519,60 гривень);</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-соціальний захист – 6,2 відсотка (12 004 665,62 гривень);</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-культура і мистецтво – 4,3 відсотка (8 271 537,16 гривень);</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-фізична культура і спорт – 1,1 відсотка (2 235 515,33 гривень);</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-житлово-комунальне господарство – 4,2 відсотка (8 141 230,65 гривень);</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економічна діяльність – 2,0 відсотка (3 905 598,57 гривень);</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інша діяльність – 0,1 відсоток (270 767,50 гривень);</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міжбюджетні трансферти – 0,1 відсотки  (270 000,00 гривень).</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По спеціальному фонду за звітний період використано коштів в сумі 31 803 672,29  грн, в тому числі:</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плати за послуги, що надаються бюджетними установами здійснені видатки в сумі 1 114 457,74 грн;</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інших джерел власних надходжень бюджетних установ здійснені видатки в сумі 2 614 166,61 грн; </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переданих із загального фонду до бюджету розвитку використано 28 075 047,94 гривень.</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Державне управління</w:t>
      </w: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«Державне управління» за звітний період використано коштів на суму 26 064 872,39 гривень, що становить 91,1 відсоток до бюджетних призначень звітного періоду.</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апарату міської ради із загального фонду бюджету громади використано кошти в сумі 25 578 195,28 грн, що становить 91,3 % планових призначень звітного періоду: </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заробітну плату з нарахуванням працівників міської ради використано кошти в сумі 23 194 689,36 грн  або 90,7 % касових видатків на утримання установи;</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використано кошти в сумі 712 653,35 грн або 2,8 % касових видатків установи.</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інші видатки склали 1 670 852,57 гривень, що становить 6,5% до касових видатків галузі. </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програмою фінансового забезпечення представницьких витрат та інших видатків, пов’язаних з діяльністю Сквирської міської ради на 2021-2025 роки за звітний період використано 146 614,00 грн.</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по Програмі розвитку архівної справи у Сквирській міській територіальній громаді  спрямовано 340 063,11 грн (виплата заробітної плати склала 277 306,16 грн, оплата спожитих енергоносіїв та комунальних послуг 62 756,95 грн).</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Освіта</w:t>
      </w: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«Освіта»  із загального фонду бюджету Сквирської міської  територіальної громади (з урахуванням міжбюджетних трансфертів) протягом 9 місяців 2023 року спрямовано кошти в сумі 125 322 112,84 гривень, що становить 92,0%</w:t>
      </w:r>
      <w:r w:rsidDel="00000000" w:rsidR="00000000" w:rsidRPr="00000000">
        <w:rPr>
          <w:sz w:val="28"/>
          <w:szCs w:val="28"/>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ланових призначень звітного періоду та 64,3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загального обсягу видатків бюджету. </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закладів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дошкільної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Сквирської міської  територіальної громади спрямовано кошти в сумі 15 112 341,25 грн, що становить 86,9 відсотка  планових призначень звітного періоду та 12,1 відсотків загального обсягу видатків бюджету, з них:</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виплату заробітної плати з нарахуваннями спрямовано кошти в сумі 12 384 008,80 гривень або 81,9 відсотків обсягу касових видатків на заклади;</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продукти харчування спрямовано кошти в сумі 497 578,30 гривень або 3,3 %;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кошти в сумі 1 418 771,36 гривень або 9,4 відсотків обсягу касових видатків на дошкільні заклади;</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кошти в сумі 811 982,79 гривень або 5,4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них на поточні ремонти укриттів  та закладів дошкільної освіти спрямовано 479 957,66 гривень. </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загальної середньої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громади протягом звітного періоду спрямовано кошти в сумі 98 131 495,23 гривень (в тому числі за рахунок освітньої субвенції з державного бюджету – 61 627 233,01 гривень, за рахунок додаткової дотації на здійснення переданих з державного бюджету видатків з утримання закладів освіти та охорони здоров’я на виплату заробітної плати іншим категоріям працівників навчальних закладів – 1 247 940,26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базової дотації – 13 054 333,38 грн,  власних надходжень – 22 201 988,58 грн), що становить 92,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планових призначень звітного періоду та 50,3</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загального обсягу видатків бюджету:</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нарахуваннями склала – 80 558 881,27 гривень або 82,1 відсотка обсягу касових видатків на заклади;</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916 437,08 гривень або 0,9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10 304 789,01 гривень або 10,5 відсотків загального обсягу видатків;</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6 351 387,87 гривень  або 6,5 відсотків обсягу касових видатків на заклади, з них на поточні ремонти укриттів в навчальних закладах використано 1 197 942,62 гривень. </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дитячої та юнацької творчості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громади використані кошти в сумі 3 471 819,12 гривень, що складає 1,8 відсотка загального обсягу бюджету:</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нарахуваннями – 3 248 823,12 гривень або 93,6 відсотка касових видатків на заклад;</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157 232,72 гривень або 4,5 відсотка касових видатків;</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інших видатків – 65 763,28 гривень або 1,9 відсотка касових видатків. </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 відділу освіти, господарської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3 766 491,98 гривень, що становить 1,9 відсотка від загального обсягу видатків бюджету, а саме на:</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3 368 116,64 гривень  або 89,4 відсотка видатків на  заклад;</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97 937,93 гривень або 2,6 відсотка видатків на  заклад;</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300 437,41 гривень, що становить 8,0 відсотків до проведених касових видатків на заклади.</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професійного розвитку педагогічних працівників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320 263,93 гривень, або 0,2 відсотка від загального обсягу видатків бюджету, а саме на:</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307 485,50 гривень  або 96,0 відсотка видатків на  заклад;</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10 255,58 гривень або 3,2 відсотка видатків на  заклади;</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2 522,85 гривень. </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з надання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спеціалізованої освіти мистецькими школами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3 589 236,78 гривень, або 1,8 відсотка від загального обсягу видатків бюджету, а саме на:</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3 365 471,03 гривень  або 93,8 відсотка видатків на  заклад;</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177 236,63 гривень або 4,9 відсотка видатків на  заклад;</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46 529,12 гривень, або 1,3 відсотка до проведених видатків на заклад.</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інклюзивно-ресурсного центру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місцевого бюджету використано 126 950,79 гривень з них на виплату заробітної плати з нарахуваннями непедагогічним працівникам направлено 76 303,12 гривень та на оплату енергоносіїв використано 43 412,33 гривень інші видатки склали 7 235,34 гривень.</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здійснення переданих видатків у сфері освіти за рахунок коштів освітньої субвенції на оплату праці з нарахуваннями педагогічним працівникам інклюзивно-ресурсного центру направлено коштів на суму 582 446,98 гривень. Надано послуги 30 дітям з особливими освітніми потребами, які перебувають на обліку закладі.</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використано 188 623,78 гривень.</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виплату допомоги дітям-сиротам, яким у 2023 році виповниться 18 років спрямовано 9 050,00 гривень (5 дітей) та на розрахунково-касове обслуговування використано 14,00 гривень.</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рамках Програми патріотичного виховання дітей у Сквирській міській територіальній громаді на період до 2025 року придбано матеріали для участі у Всеукраїнській дитячо-спортивній військово-патріотичній грі «Сокіл» («Джура») на суму 23 379,00 гривень.</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Охорона здоров’я </w:t>
      </w: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«Охорона здоров’я» із загального фонду бюджету Сквирської міської територіальної громади протягом січня-в</w:t>
      </w:r>
      <w:r w:rsidDel="00000000" w:rsidR="00000000" w:rsidRPr="00000000">
        <w:rPr>
          <w:sz w:val="28"/>
          <w:szCs w:val="28"/>
          <w:rtl w:val="0"/>
        </w:rPr>
        <w:t xml:space="preserve">ересня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2023 року спрямовано кошти в сумі 8 445 519,60 гривень, що становить 73,3 відсотка  планових призначень звітного періоду та 4,3 відсотка загального обсягу видатків бюджету. </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виплату заробітної плати з нарахуваннями працівникам фельдшерсько-акушерських пунктів спрямовано 1 728 824,19 гривень та працівникам  відділення невідкладної допомоги 834 055,56 гривень.</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використано 5 275 576,01 гривень або 62,5% видатків на галузь.</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пальне для заправки автомобілів по наданню невідкладної допомоги на суму 104 164,35 гривень та використано кошти у сумі 54 180,54 гривень на укомплектування медикаментами та перев’язувальними матеріалами фельдшерські медичні сумки. </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техобслуговування газового обладнання медамбулаторій на суму 19 456,20 гривень та придбано електроелементи для підключення генераторів на суму 14 747,00 гривень.</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набір лапароскопічних інструментів для міської лікарні на суму 50 000,00 гривень.</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Закуплено матеріали для поточного ремонту лікарських палат хірургічного відділення на суму 99 865,75 гривень та придбано програмне забезпечення для надання послуг з правом користування комп’ютерною програмою «Інформаційна система планування та моніторингу фінансування закладів за моделлю діагностично -споріднених груп «FinHealth» на суму 42 000,00 гривень.</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проведення енергоаудиту приміщень ЦМЛ та ЦПМСД використано 172 750,00 гривень.</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поточний ремонт автомобіля невідкладної допомоги на суму 49 900,00 гривень.</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та соціальне забезпечення</w:t>
      </w: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на галузь «Соціальний захист та соціальне забезпечення» спрямовано 12 004 665,62 гривень, що становить 6,2 відсотка від проведених касових видатків з бюджету та 81,0 відсотка до бюджетних призначень на звітний період.</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Центром надання соціальних послуг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протягом звітного періоду використано коштів на суму 7 469 448,39 гривень, або 62,2 відсотка до проведених касових видатків на галузь.</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заробітну плату з нарахуваннями використано 6 399 134,81 гривень, або 85,7 відсотка до проведених видатків установи.</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направлено 626 031,92 гривень або 8,4 відсотків.</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продукти харчування для стаціонарного відділення з цілодобовим перебування підопічних громадян на суму 65 542,94 гривень. </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інші видатки спрямовано 378 738,72 гривень або 5,1 відсотка до проведених видатків установи.</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програмою «Турбота»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використано 2 345 202,10 гривень (надано 203 особам допомогу на лікування та вирішення соціально-побутових проблем на суму 509 500,00 гривень та допомогу 247 мобілізованим громадянам на суму 741 000,00 гривень і допомогу на поховання 14 військовослужбовців на суму 90 770,00 гривень).</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Програму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впорядкування безоплатного та пільгового відпуску лікарських засобів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 спрямовано 537 062,10 гривень. Послугою скористалося 186 осіб та виписано 417 рецепти.</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Комплексну програму соціальної підтримки учасників АТО та операції об’єднаних сил, членів їх сімей, вшанування пам’яті загиблих (померлих) на 2022-2025 спрямовано 381 670,00 гривень 71 особам та придбано державні прапори в кількості 220 штук на суму 74 500,00 гривень.</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Програму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на 2021-2025 роки направлено 10 700,00 гривень.</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здійснення компенсації фізичним особам, що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спрямовано 1 008 517,50 гривень.</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до Дня матері та Дня захисту дітей направлено 29 525,00 гривень.</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соціальної підтримки дітей та сімей «Надія»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звітному періоді використано 1 106 722,67 гривень для виплати заробітної плати з нарахуваннями працівникам закладу спрямовано 978 736,30 гривень на оплату комунальних послуг та енергоносіїв спрямовано 90 419,34 гривень, інші видатки склали 37 567,03 гривень.</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організацію та проведення громадських робіт використано 45 249,96 гривень.</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Культура і мистецтво</w:t>
      </w: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загального фонду бюджету Сквирської міської територіальної громади на утримання установ і закладів культури за січень-серпень 2023 року спрямовано кошти в сумі  8 271 537,16 гривень, що становить 86,9 відсотків планових призначень звітного періоду та 4,3 відсотка загального обсягу видатків бюджету. </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бібліотек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громади спрямовано кошти в сумі 3 053 687,55 гривень, що становить 89,2 відсотка планових призначень звітного періоду та 36,9 відсотка до проведених видатків на галузь:</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2 573 708,85 гривень, що становить 84,3 відсотків касових видатків на заклад;</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118 740,35 гривень або 3,9 відсотків загального обсягу видатків за звітний період;  </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витрати склали –  361 238,35 гривень у тому числі на матеріали та поточний ремонт приміщення бібліотеки спрямовано 205 948,58 гривень та на придбання меблів  використано 95 762,00 гривень.</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музею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громади спрямовано кошти в сумі 233 952,19 гривень, що становить 89,5 відсотка планових призначень звітного періоду:</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218 707,67 гривень,  що становить 93,5 відсотка касових видатків на заклад;</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11 842,21 гривень або 5,01 відсотка загального обсягу видатків за звітний період;  </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3 102,31 гривні.</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будинків культури, клубів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громади використано кошти в сумі 4 126 706,95 гривень, що становить 84,5 відсотка планових призначень звітного періоду та 49,9 відсотків загального обсягу проведених видатків на галузь:</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ff0000"/>
          <w:sz w:val="28"/>
          <w:szCs w:val="28"/>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виплату заробітної плати з нарахуваннями спрямовано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3 693 840,73 гривень,  що становить 89,5 відсотків обсягу касових видатків на</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заклади;</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оплату комунальних послуг та енергоносіїв витрачено 180 794,19 гривень або 4,4 відсотків від загального обсягу видатків на вищезазначені заклади;</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252 072,03 гривень або 6,1 відсотка від обсягу касових видатків на заклади. </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відділу культури спрямовано коштів в сумі 841 440,47 гривень, що становить 93,3 відсотки планових призначень звітного період:</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tyjcwt" w:id="5"/>
      <w:bookmarkEnd w:id="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заробітну плату з нарахуваннями – 743 788,99 гривень, що становить 88,4 відсотки обсягу касових видатків на заклад;</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енергоносії спрямовано 8 889,17 гривень, що складає 1,1% обсягу касових видатків на заклад;</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88 762,31 гривень, що становить 5,5% загального обсягу проведених видатків на заклад.</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ourier New" w:cs="Courier New" w:eastAsia="Courier New" w:hAnsi="Courier New"/>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проведення заходів в галузі культури і мистецтва використано 15750,00 гривень.</w:t>
      </w: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Фізична культура і спорт</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установ і закладів фізичної культури і спорту та проведення спортивної роботи в громаді із загального фонду бюджету спрямовано кошти в сумі 2 235 515,33 гривень, що становить 1,1% загального обсягу видатків бюджету.</w:t>
      </w: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навчально-тренувальну роботу комунальної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дитячо-юнацької спортивної школи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громади спрямовано кошти в сумі 2 159 066,13 гривень, що становить 89,2 % планових призначень звітного періоду:</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праці з нарахуваннями – 1 958 785,93 гривень або 87,6 % витрат;</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158 289,20 гривень, або 7,1 % загальних видатків на заклад;</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витрати – 35691,00 гривень або 1,2 % загального обсягу видатків за звітний період.</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заходи спортивно-масової роботи з дітьми направлено 43514,00 грн.</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державного бюджету на виконання окремих заходів з реалізації соціального проекту «Активні парки – локації здорової України» на виплату заробітної плати координатору проекту спрямовано 39 235,20 гривень.</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center"/>
        <w:rPr>
          <w:rFonts w:ascii="Times" w:cs="Times" w:eastAsia="Times" w:hAnsi="Times"/>
          <w:sz w:val="28"/>
          <w:szCs w:val="28"/>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Житлово - комунальне господарство</w:t>
      </w: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протягом звітного періоду спрямовано 8 141 230,65 гривень, що становить 4,2% від видатків за відповідний період з бюджету громади.</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збору та вивезення сміття і відходів використано    788 279,40 гривень.</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708.661417322834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благоустрій населених пунктів із загального фонду бюджету за звітний період використано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6 126 342,29 гривень, що</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становить  75,3</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 загального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обсягу видатків галузь, у тому числі спрямовано на:</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hanging="862.338582677165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4 747 921,32 гривень;</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hanging="862.338582677165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237 347,94 гривень;</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hanging="862.338582677165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1 141 032,03 гривень.</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Надано фінансову підтримку комунальному підприємству «Сквир-водоканал» на виплату заробітної плати з нарахуваннями на суму 650 000,00 гривень.</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Проведено технічну інвентаризацію з виготовлення технічних паспортів будівель, технічну оцінку стану будівель на суму 342 729,96 гривень.</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566.9291338582675"/>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комунального підприємства «Сквир-водоканал» придбано чавунні засувки на суму 99 000,00 гривень, каналізаційні люки на суму 37 820,13 гривень та проведено гідродинамічне очищення піскоуловлювача очисних споруд</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суму 97 058,87 </w:t>
      </w:r>
      <w:r w:rsidDel="00000000" w:rsidR="00000000" w:rsidRPr="00000000">
        <w:rPr>
          <w:sz w:val="28"/>
          <w:szCs w:val="28"/>
          <w:rtl w:val="0"/>
        </w:rPr>
        <w:t xml:space="preserve">грн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ab/>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Економічна діяльність</w:t>
      </w: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галузь «Економічна діяльність» у звітному періоді використано 3 905 598,57 гривень. </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розвиток автомобільних доріг та дорожньої інфраструктури у звітному періоді використано 3 700 055,33 гривень, що становить 2,0 відсотка від проведених видатків із бюджету громади, з них на:</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виплату заробітної плати з нарахуваннями – 516 000,00 гривень.</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паливно-мастильних матеріалів та піщано-сольової суміші використано 331 310,18 гривень. </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послуги з поточного ремонту дорожнього покриття білощебеневою сумішшю використано 2 852 745,15 гривень в тому числі:</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 Якушкіна  -  133 907,08 гривень;</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вул.М.Рильського – 172 148,54 гривень;</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пров.М.Гоголя - 80 952,04 гривень;</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 Карла Болсуновського – 39 202,79 гривень,</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вул.Червона – 77 971,68 гривень;</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Карла Болсуновського – 143 209,20 гривень; </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Соборна – 191 614,85 гривень;</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Липовецька – 199 711,19 гривень;</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Пустоварівська – 152 400,04 гривень;</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Віктора Кібенка – 190 250,51 гривень;</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Кононського – 196 446,85 гривень;</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Буки, вул. Польова  - 198 579,60 гривень; </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Чубинці, вул.Шкільна  - 59 210,40 гривень;</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Чубинці, вул.Яблунева – 62 977,18 гривень;</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Дулицьке, вул. Березина – 72 752,40 гривень;</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Красноліси, вул. Миру – 82 830,00 гривень;</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Токарівка, вул. Сергія Альошина – 198 883,20 гривень;</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Кам'яна Гребля, вул. Новоселецька – 199 756,80 гривень;</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Золотуха, вул. Тараса Шевченка – 199 945,20 гривень; </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Самгородок, вул. Кооперативна – 199 995,60 гривень</w:t>
      </w: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із землеустрою направлено 98 700,00 гривень для виготовлення технічної документації земельних ділянок.</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Членських внесків до асоціацій органів місцевого самоврядування перераховано 15 590,00 гривень.</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На виплату заборгованості із заробітної плати працівникам КП Сквирська аптека №25, у зв’язку із ліквідацією підприємства направлено 91 253,24 гривень.</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Інша діяльність</w:t>
      </w: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firstLine="565.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січень-вересень 2023 року резервний фонд місцевого бюджету не використовувався.</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та роботи з мобілізаційної підготовки місцевого значення використано 270 767,50 гривень.</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Міжбюджетні трансферти</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5.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звітному періоді перераховано субвенцію з місцевого бюджету державному бюджету на виконання заходів із соціально-економічного розвитку регіонів на суму 220 000,00 гривень, у тому числі на:</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паливно-мастильних матеріалів для Білоцерківського РУ поліції ГУНП в Київській області - 100 000,00 гривень;</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-придбання камер відеоспостереження для відділ №1 БРУ поліції ГУМП в Київські області – 120 000,00 гривень.</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Спеціальний фонд</w:t>
      </w:r>
      <w:r w:rsidDel="00000000" w:rsidR="00000000" w:rsidRPr="00000000">
        <w:rPr>
          <w:rtl w:val="0"/>
        </w:rPr>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що формують надходження до бюджету розвитку громади  спрямовано 28 075 047,94 гривень, у тому числі за об’єктами на:</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цифрової стаціонарної рентгенологічної  системи для КНП ЦМЛ – 1 000 000,00 грн;</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комп’ютерної техніки для структурних підрозділів Сквирської міської ради – 304 992,00 грн;</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розроблення топографо-геодезичних знімань та аерофотографування з першого етапу робіт  генерального плану громади – 252 000,00 грн;</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розробка робочого проекту реконструкції системи газопостачання теплогенераторної ЗДО №2 – 33 750,00 грн;</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розробка робочого проекту реконструкції системи газопостачання теплогенераторної Сквирського ЦДЮТ – 33 750,00 грн;</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комп’ютерної техніки для відділення соціальної роботи центру надання соціальних послуг – 79 330,00 грн;</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модуля в котельню міського будинку культури – 174 286,00 грн;</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реконструкція системи водопостачання частини вулиці Новоселецька від будинку №30 до будинку №34 в м. Сквира Білоцерківського району Київської області – 160 331,90 грн;</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реконструкція системи водопостачання по  вул. Новоселецька  в м. Сквира   Білоцерківського району Київської області  - 508 891,00 грн;                                                     </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реконструкція системи водопостачання по  провулку  Новоселецький  в м. Сквира  Білоцерківського району Київської області – 118 584,00 грн;                                                             </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реконструкція системи водопостачання по  провулку Кільцевий  в м. Сквира  Білоцерківського району Київської області – 343 962,00 грн;  </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технічний нагляд на об’єкті: Реконструкції системи водопостачання  по вул. Новоселецькій в м. Сквира  Білоцерківського району Київської області – 6 900,00 грн;                                   </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-технічний нагляд на об’єкті: Реконструкції системи водопостачання                    по пр. Новоселецький в м. Сквира Білоцерківського район -1 600,00 грн; </w:t>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технічний нагляд на об’єкті: Реконструкції системи водопостачання по пр. Кільцевий в м. Сквира Білоцерківського району Київської області – 4 600,00 грн;                                              </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по об’єкту: Реконструкції системи водопостачання                      по вул. Кібенка в м. Сквира Білоцерківського району Київської області – 40 980,00 грн;</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виготовлення ПКД та експертиза  по об’єкту: Реконструкції системи                          водопостачання  по вул. Новоселецькій від будинку №30 до будинку №34  в м. Сквира  Київської області  Білоцерківського району Київської області  - 16 320,80 грн;  </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експертиза проекту по об’єкту: Капітальний ремонт харчоблоку Шамраївського НВК - 8500,00 грн;</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приміщення Шамраївського НВК- 424 570,00 грн (система пожежної сигналізації);</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по об’єкту: Капітальний ремонт паркану та воріт в ЗДО №3 м. Сквира Білоцерківського району Київської області 5 787,00 грн;</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75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капітальний ремонт будівлі (полового) відділення КНП СМР ЦПМСД –  409 987,41 грн (система пожежної сигналізації);</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75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експертиза проекту по об’єкту: Будівництво центру надання адміністративних послуг по вул. Соборна,16 в м.Сквира Київської області  - 27 630,00 грн;                                                    </w:t>
        <w:tab/>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7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технічний нагляд на об’єкті: Капітальний ремонт частини дорожнього покриття по вул. Лівобережна від будинку № 60 до перехрестя з вул. Польова – 10 644,00 грн;</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75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та експертиза по об’єкту: Капітальний ремонт тротуару по вул. Карла Болсуновського в м. Сквира Білоцерківського району, Київської області -61 991,20 грн;</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755"/>
        </w:tabs>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топографо-геодезичні знімання території, інженерних мереж по об’єкту: Схема організації дорожнього руху по вул. Соборна в м. Сквира Білоцерківського району Київської області – 30 150,00 грн;                       </w:t>
      </w: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75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топографо-геодезичні знімання території, інженерних мереж по об’єкту: Капітальний ремонт тротуару по вул. Карла Болсуновського в         м. Сквира Білоцерківського району Київської області – 37 560,00 грн;</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виконання інженерно-геодезичних вишукувань по об’єкту: «Капітальний ремонт дорожнього покриття по вул. Городище в с. Шамраївка, Київської області» – 9 600,00 грн;</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виконання інженерно-геодезичних вишукувань по об’єкту: «Капітальний ремонт дорожнього  покриття по вул. Весняна в с. Горобіївка, Київської області – 6 500,00 грн;</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трактора  для КП «Сквираблагоустрій» - 870 000,00 грн;</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пасажирського автобуса для КП «Сквираблагоустрій»    3 148 000,00 грн;       </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компресора високого тиску BAUER RE-100-TW  для 12 ДПРЗ ГУДСНС України у Київській області – 190 000,00 грн;</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виконання інженерно-геодезичних, геологічних вишукувань за об’єктом: «Нове будівництво споруди цивільного захисту на території Сквирського закладу ЗЗСО №3 – 37 000,58 грн;</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та проведення експертизи робочих проектів з капітального ремонту дорожнього покриття по вул. Городище в с. Шамраївка, вул. Весняна в с. Горобіївка – 67 161,60 грн;</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та проведення експертизи робочого проекту з капітального ремонту приміщення їдальні в Сквирському академічному ліцеї – 54 500,77 грн;</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та проведення експертизи робочого проекту з капітального ремонту покрівлі Сквирського академічного ліцею №2 – 336 907,00 грн;</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робіт по заміні вікон в ЗДО № 2 – 196 503,78 грн;</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капітального ремонту та технічного нагляду частини дорожнього покриття по вул. Польова від перехрестя з вул. Залізнична до будинку №46 – 2 775 263,97 грн;</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пароконвектомату для ЗДО №6 – 374 069,70 грн;</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заміну вікон та вхідної конструкції в приміщення бібліотеки – 195 699,38 грн;</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для комунального підприємства «Сквир-водоканал» змінне обладнання (вантузи) та трансформатор – 527 848,60 грн;</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капітальний ремонт паркану та воріт в ЗДО №3 – 62 792,69 грн;</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експертиза робочого проекту на капітальний ремонт системи вентиляції в Сквирському академічному ліцеї №2 – 30 920,00 грн;</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виконання робіт з технічного переоснащення ВНС – 938 577,96 грн;</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капітального ремонту з технічним наглядом дорожнього покриття по вул. Заводська в с. Руда – 1 545 505,27 грн; </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інженерно-геодезичних вишукувань по реконструкції діючого погреба в Пустоварівському НВК – 10 670,00 грн;</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капітального ремонту, технічного нагляду дорожнього покриття по вул. Новоселецька, Кобзаря – 3 663 436,60 грн;</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ПКД на капітальний ремонт нежитлової будівлі по вул. Київська,  6 – 80 000,00 грн;</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газового котла з автоматикою для приміщення по вул.Якушкіна,3  – 28 000,00 грн;</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робочої станції для оформлення та видачі паспортних документів – 519 900,00 грн;</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операційного світильника для міської лікарні – 299 000,00 грн;</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морозильної камери для ЗДО №6 – 23 500,00 грн;</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ноутбуків для закладів дошкільної та позашкільної освіти – 154 080,00 грн;</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циркуляційних насосів для закладів освіти – 174 755,00 грн;</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проектно-кошторисної документації на капітальний ремонт харчоблоку Шамраївського НВК ЗЗСО І-ІІІ ступенів – дошкільний заклад  Сквирської міської ради Київської області за адресою: Київська область, с.Шамраївка, вулиця Шкільна, 3 – 49 840,00 грн;</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капітальний ремонт харчоблоку Сквирського академічного ліцею Сквирської міської ради Київської області за адресою: Київська обл., м. Сквира, вул. Незалежності, 63 – 1 489 562,41 грн;</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технічний нагляд на об’єкті: «Капітальний ремонт харчоблоку Сквирського академічного ліцею Сквирської міської ради Київської області за адресою: Київська обл., м. Сквира, вул. Незалежності, 63 – 16 287,00 грн;</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авторський нагляд на об’єкті: «Капітальний ремонт харчоблоку Сквирського академічного ліцею Сквирської міської ради Київської області за адресою: Київська обл., м. Сквира, вул. Незалежності, 63 – 2 700,00 грн.</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грошової компенсації за належні для отримання жилі приміщення за рахунок субвенції з державного бюджету учасникам бойових дій на території інших держав, особам з інвалідністю внаслідок війни ІІ групи на суму 5 188 337,52 грн; </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іншої субвенції з місцевого бюджету на співфінансування обласному бюджету з придбання шкільного автобуса на суму 900 000,00 гривень.</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0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екологічного податку забезпечено послуги по збиранню, перевезенню, сортуванню, зберіганню, утилізації електричного обладнання (лампочок) з метою їх утилізації на суму 11 030,80 гривень.</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0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0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Заборгованість</w:t>
      </w: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1 жовтня 2023 року кредиторська заборгованість по загальному фонду бюджету громади склала 157 546,54 грн у тому числі за:</w:t>
      </w:r>
    </w:p>
    <w:p w:rsidR="00000000" w:rsidDel="00000000" w:rsidP="00000000" w:rsidRDefault="00000000" w:rsidRPr="00000000" w14:paraId="000002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оплатою продуктів харчування – 3 385,00 гривень;</w:t>
      </w:r>
    </w:p>
    <w:p w:rsidR="00000000" w:rsidDel="00000000" w:rsidP="00000000" w:rsidRDefault="00000000" w:rsidRPr="00000000" w14:paraId="000002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оплатою енергоносіїв – 36 303,54 гривень;</w:t>
      </w:r>
    </w:p>
    <w:p w:rsidR="00000000" w:rsidDel="00000000" w:rsidP="00000000" w:rsidRDefault="00000000" w:rsidRPr="00000000" w14:paraId="000002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іншими незахищеними статтями видатків – 117 858,00 гривень</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Причиною виникнення кредиторської заборгованості є переліміт фактичних показників споживання енергоносіїв і як наслідок, відсутність помісячних бюджетних призначень та фінансування незахищених статей видатків в останній день місяця.</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спеціальним фондом кредиторська заборгованість відсутня.</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Дебіторська заборгованість станом на 01 жовтня 2023 року відсутня.</w:t>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фінансового управління</w:t>
      </w: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Ірина КРУКІВСЬКА</w:t>
      </w: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99" w:top="142"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211" w:hanging="360"/>
      </w:pPr>
      <w:rPr>
        <w:rFonts w:ascii="Times New Roman" w:cs="Times New Roman" w:eastAsia="Times New Roman" w:hAnsi="Times New Roman"/>
        <w:vertAlign w:val="baseline"/>
      </w:rPr>
    </w:lvl>
    <w:lvl w:ilvl="1">
      <w:start w:val="1"/>
      <w:numFmt w:val="bullet"/>
      <w:lvlText w:val="o"/>
      <w:lvlJc w:val="left"/>
      <w:pPr>
        <w:ind w:left="1931" w:hanging="360"/>
      </w:pPr>
      <w:rPr>
        <w:rFonts w:ascii="Courier New" w:cs="Courier New" w:eastAsia="Courier New" w:hAnsi="Courier New"/>
        <w:vertAlign w:val="baseline"/>
      </w:rPr>
    </w:lvl>
    <w:lvl w:ilvl="2">
      <w:start w:val="1"/>
      <w:numFmt w:val="bullet"/>
      <w:lvlText w:val="▪"/>
      <w:lvlJc w:val="left"/>
      <w:pPr>
        <w:ind w:left="2651" w:hanging="360"/>
      </w:pPr>
      <w:rPr>
        <w:rFonts w:ascii="Noto Sans Symbols" w:cs="Noto Sans Symbols" w:eastAsia="Noto Sans Symbols" w:hAnsi="Noto Sans Symbols"/>
        <w:vertAlign w:val="baseline"/>
      </w:rPr>
    </w:lvl>
    <w:lvl w:ilvl="3">
      <w:start w:val="1"/>
      <w:numFmt w:val="bullet"/>
      <w:lvlText w:val="●"/>
      <w:lvlJc w:val="left"/>
      <w:pPr>
        <w:ind w:left="3371" w:hanging="360"/>
      </w:pPr>
      <w:rPr>
        <w:rFonts w:ascii="Noto Sans Symbols" w:cs="Noto Sans Symbols" w:eastAsia="Noto Sans Symbols" w:hAnsi="Noto Sans Symbols"/>
        <w:vertAlign w:val="baseline"/>
      </w:rPr>
    </w:lvl>
    <w:lvl w:ilvl="4">
      <w:start w:val="1"/>
      <w:numFmt w:val="bullet"/>
      <w:lvlText w:val="o"/>
      <w:lvlJc w:val="left"/>
      <w:pPr>
        <w:ind w:left="4091" w:hanging="360"/>
      </w:pPr>
      <w:rPr>
        <w:rFonts w:ascii="Courier New" w:cs="Courier New" w:eastAsia="Courier New" w:hAnsi="Courier New"/>
        <w:vertAlign w:val="baseline"/>
      </w:rPr>
    </w:lvl>
    <w:lvl w:ilvl="5">
      <w:start w:val="1"/>
      <w:numFmt w:val="bullet"/>
      <w:lvlText w:val="▪"/>
      <w:lvlJc w:val="left"/>
      <w:pPr>
        <w:ind w:left="4811" w:hanging="360"/>
      </w:pPr>
      <w:rPr>
        <w:rFonts w:ascii="Noto Sans Symbols" w:cs="Noto Sans Symbols" w:eastAsia="Noto Sans Symbols" w:hAnsi="Noto Sans Symbols"/>
        <w:vertAlign w:val="baseline"/>
      </w:rPr>
    </w:lvl>
    <w:lvl w:ilvl="6">
      <w:start w:val="1"/>
      <w:numFmt w:val="bullet"/>
      <w:lvlText w:val="●"/>
      <w:lvlJc w:val="left"/>
      <w:pPr>
        <w:ind w:left="5531" w:hanging="360"/>
      </w:pPr>
      <w:rPr>
        <w:rFonts w:ascii="Noto Sans Symbols" w:cs="Noto Sans Symbols" w:eastAsia="Noto Sans Symbols" w:hAnsi="Noto Sans Symbols"/>
        <w:vertAlign w:val="baseline"/>
      </w:rPr>
    </w:lvl>
    <w:lvl w:ilvl="7">
      <w:start w:val="1"/>
      <w:numFmt w:val="bullet"/>
      <w:lvlText w:val="o"/>
      <w:lvlJc w:val="left"/>
      <w:pPr>
        <w:ind w:left="6251" w:hanging="360"/>
      </w:pPr>
      <w:rPr>
        <w:rFonts w:ascii="Courier New" w:cs="Courier New" w:eastAsia="Courier New" w:hAnsi="Courier New"/>
        <w:vertAlign w:val="baseline"/>
      </w:rPr>
    </w:lvl>
    <w:lvl w:ilvl="8">
      <w:start w:val="1"/>
      <w:numFmt w:val="bullet"/>
      <w:lvlText w:val="▪"/>
      <w:lvlJc w:val="left"/>
      <w:pPr>
        <w:ind w:left="6971"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927" w:hanging="360"/>
      </w:pPr>
      <w:rPr>
        <w:rFonts w:ascii="Times New Roman" w:cs="Times New Roman" w:eastAsia="Times New Roman" w:hAnsi="Times New Roman"/>
        <w:vertAlign w:val="baseline"/>
      </w:rPr>
    </w:lvl>
    <w:lvl w:ilvl="1">
      <w:start w:val="1"/>
      <w:numFmt w:val="bullet"/>
      <w:lvlText w:val="o"/>
      <w:lvlJc w:val="left"/>
      <w:pPr>
        <w:ind w:left="1647" w:hanging="360"/>
      </w:pPr>
      <w:rPr>
        <w:rFonts w:ascii="Courier New" w:cs="Courier New" w:eastAsia="Courier New" w:hAnsi="Courier New"/>
        <w:vertAlign w:val="baseline"/>
      </w:rPr>
    </w:lvl>
    <w:lvl w:ilvl="2">
      <w:start w:val="1"/>
      <w:numFmt w:val="bullet"/>
      <w:lvlText w:val="▪"/>
      <w:lvlJc w:val="left"/>
      <w:pPr>
        <w:ind w:left="2367" w:hanging="360"/>
      </w:pPr>
      <w:rPr>
        <w:rFonts w:ascii="Noto Sans Symbols" w:cs="Noto Sans Symbols" w:eastAsia="Noto Sans Symbols" w:hAnsi="Noto Sans Symbols"/>
        <w:vertAlign w:val="baseline"/>
      </w:rPr>
    </w:lvl>
    <w:lvl w:ilvl="3">
      <w:start w:val="1"/>
      <w:numFmt w:val="bullet"/>
      <w:lvlText w:val="●"/>
      <w:lvlJc w:val="left"/>
      <w:pPr>
        <w:ind w:left="3087" w:hanging="360"/>
      </w:pPr>
      <w:rPr>
        <w:rFonts w:ascii="Noto Sans Symbols" w:cs="Noto Sans Symbols" w:eastAsia="Noto Sans Symbols" w:hAnsi="Noto Sans Symbols"/>
        <w:vertAlign w:val="baseline"/>
      </w:rPr>
    </w:lvl>
    <w:lvl w:ilvl="4">
      <w:start w:val="1"/>
      <w:numFmt w:val="bullet"/>
      <w:lvlText w:val="o"/>
      <w:lvlJc w:val="left"/>
      <w:pPr>
        <w:ind w:left="3807" w:hanging="360"/>
      </w:pPr>
      <w:rPr>
        <w:rFonts w:ascii="Courier New" w:cs="Courier New" w:eastAsia="Courier New" w:hAnsi="Courier New"/>
        <w:vertAlign w:val="baseline"/>
      </w:rPr>
    </w:lvl>
    <w:lvl w:ilvl="5">
      <w:start w:val="1"/>
      <w:numFmt w:val="bullet"/>
      <w:lvlText w:val="▪"/>
      <w:lvlJc w:val="left"/>
      <w:pPr>
        <w:ind w:left="4527" w:hanging="360"/>
      </w:pPr>
      <w:rPr>
        <w:rFonts w:ascii="Noto Sans Symbols" w:cs="Noto Sans Symbols" w:eastAsia="Noto Sans Symbols" w:hAnsi="Noto Sans Symbols"/>
        <w:vertAlign w:val="baseline"/>
      </w:rPr>
    </w:lvl>
    <w:lvl w:ilvl="6">
      <w:start w:val="1"/>
      <w:numFmt w:val="bullet"/>
      <w:lvlText w:val="●"/>
      <w:lvlJc w:val="left"/>
      <w:pPr>
        <w:ind w:left="5247" w:hanging="360"/>
      </w:pPr>
      <w:rPr>
        <w:rFonts w:ascii="Noto Sans Symbols" w:cs="Noto Sans Symbols" w:eastAsia="Noto Sans Symbols" w:hAnsi="Noto Sans Symbols"/>
        <w:vertAlign w:val="baseline"/>
      </w:rPr>
    </w:lvl>
    <w:lvl w:ilvl="7">
      <w:start w:val="1"/>
      <w:numFmt w:val="bullet"/>
      <w:lvlText w:val="o"/>
      <w:lvlJc w:val="left"/>
      <w:pPr>
        <w:ind w:left="5967" w:hanging="360"/>
      </w:pPr>
      <w:rPr>
        <w:rFonts w:ascii="Courier New" w:cs="Courier New" w:eastAsia="Courier New" w:hAnsi="Courier New"/>
        <w:vertAlign w:val="baseline"/>
      </w:rPr>
    </w:lvl>
    <w:lvl w:ilvl="8">
      <w:start w:val="1"/>
      <w:numFmt w:val="bullet"/>
      <w:lvlText w:val="▪"/>
      <w:lvlJc w:val="left"/>
      <w:pPr>
        <w:ind w:left="6687"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2"/>
    </w:pPr>
    <w:rPr>
      <w:rFonts w:ascii="Times NR Cyr MT" w:hAnsi="Times NR Cyr MT"/>
      <w:b w:val="1"/>
      <w:w w:val="100"/>
      <w:position w:val="-1"/>
      <w:sz w:val="24"/>
      <w:szCs w:val="20"/>
      <w:effect w:val="none"/>
      <w:vertAlign w:val="baseline"/>
      <w:cs w:val="0"/>
      <w:em w:val="none"/>
      <w:lang w:bidi="ar-SA" w:eastAsia="ru-RU" w:val="uk-UA"/>
    </w:rPr>
  </w:style>
  <w:style w:type="paragraph" w:styleId="Заголовок6">
    <w:name w:val="Заголовок 6"/>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5"/>
    </w:pPr>
    <w:rPr>
      <w:rFonts w:ascii="Calibri" w:cs="Times New Roman" w:eastAsia="Times New Roman" w:hAnsi="Calibri"/>
      <w:b w:val="1"/>
      <w:bCs w:val="1"/>
      <w:w w:val="100"/>
      <w:position w:val="-1"/>
      <w:sz w:val="22"/>
      <w:szCs w:val="22"/>
      <w:effect w:val="none"/>
      <w:vertAlign w:val="baseline"/>
      <w:cs w:val="0"/>
      <w:em w:val="none"/>
      <w:lang w:bidi="ar-SA" w:eastAsia="ru-RU" w:val="ru-RU"/>
    </w:rPr>
  </w:style>
  <w:style w:type="character" w:styleId="Основнойшрифтабзаца,ЗнакЗнакЗнакЗнак">
    <w:name w:val="Основной шрифт абзаца, Знак Знак Знак Знак"/>
    <w:next w:val="Основнойшрифтабзаца,ЗнакЗнакЗнакЗнак"/>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rFonts w:ascii="Times NR Cyr MT" w:hAnsi="Times NR Cyr MT"/>
      <w:w w:val="100"/>
      <w:position w:val="-1"/>
      <w:sz w:val="24"/>
      <w:szCs w:val="20"/>
      <w:effect w:val="none"/>
      <w:vertAlign w:val="baseline"/>
      <w:cs w:val="0"/>
      <w:em w:val="none"/>
      <w:lang w:bidi="ar-SA" w:eastAsia="ru-RU" w:val="uk-UA"/>
    </w:rPr>
  </w:style>
  <w:style w:type="paragraph" w:styleId="Основнойтекст2">
    <w:name w:val="Основной текст 2"/>
    <w:basedOn w:val="Обычный"/>
    <w:next w:val="Основнойтекст2"/>
    <w:autoRedefine w:val="0"/>
    <w:hidden w:val="0"/>
    <w:qFormat w:val="0"/>
    <w:pPr>
      <w:suppressAutoHyphens w:val="1"/>
      <w:spacing w:line="1" w:lineRule="atLeast"/>
      <w:ind w:leftChars="-1" w:rightChars="0" w:firstLineChars="-1"/>
      <w:textDirection w:val="btLr"/>
      <w:textAlignment w:val="top"/>
      <w:outlineLvl w:val="0"/>
    </w:pPr>
    <w:rPr>
      <w:rFonts w:ascii="Times New Roman CYR" w:hAnsi="Times New Roman CYR"/>
      <w:b w:val="1"/>
      <w:w w:val="100"/>
      <w:position w:val="-1"/>
      <w:sz w:val="28"/>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ru-RU" w:val="ru-RU"/>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eastAsia="ru-RU" w:val="ru-RU"/>
    </w:rPr>
  </w:style>
  <w:style w:type="character" w:styleId="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name w:val="Текст Знак,Текст Знак1 Знак1,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1 Знак2 Знак Знак"/>
    <w:next w:val="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autoRedefine w:val="0"/>
    <w:hidden w:val="0"/>
    <w:qFormat w:val="0"/>
    <w:rPr>
      <w:rFonts w:ascii="Courier New" w:cs="Courier New" w:hAnsi="Courier New"/>
      <w:w w:val="100"/>
      <w:position w:val="-1"/>
      <w:effect w:val="none"/>
      <w:vertAlign w:val="baseline"/>
      <w:cs w:val="0"/>
      <w:em w:val="none"/>
      <w:lang w:eastAsia="ru-RU"/>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sz w:val="20"/>
      <w:szCs w:val="20"/>
      <w:effect w:val="none"/>
      <w:vertAlign w:val="baseline"/>
      <w:cs w:val="0"/>
      <w:em w:val="none"/>
      <w:lang w:bidi="ar-SA" w:eastAsia="ru-RU" w:val="uk-UA"/>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character" w:styleId="Заголовок6Знак">
    <w:name w:val="Заголовок 6 Знак"/>
    <w:next w:val="Заголовок6Знак"/>
    <w:autoRedefine w:val="0"/>
    <w:hidden w:val="0"/>
    <w:qFormat w:val="0"/>
    <w:rPr>
      <w:rFonts w:ascii="Calibri" w:cs="Times New Roman" w:eastAsia="Times New Roman" w:hAnsi="Calibri"/>
      <w:b w:val="1"/>
      <w:bCs w:val="1"/>
      <w:w w:val="100"/>
      <w:position w:val="-1"/>
      <w:sz w:val="22"/>
      <w:szCs w:val="22"/>
      <w:effect w:val="none"/>
      <w:vertAlign w:val="baseline"/>
      <w:cs w:val="0"/>
      <w:em w:val="none"/>
      <w:lang w:eastAsia="ru-RU" w:val="ru-RU"/>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eastAsia="ru-RU" w:val="ru-RU"/>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wa4UMqG1nxYOORc5z4j6SvsZ3Q==">CgMxLjAyCGguZ2pkZ3hzMgloLjMwajB6bGwyCWguMWZvYjl0ZTIJaC4zem55c2g3MgloLjJldDkycDAyCGgudHlqY3d0OAByITE4WkV5YXFNZDRqLUY3dlFrOXhuSnE5SGhVdkp3V1MtMg==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2011-04-14T11:17:00Z</dcterms:created>
  <dc:creator>Budgett</dc:creator>
</cp:coreProperties>
</file>