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1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 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w:t>
      </w:r>
      <w:r w:rsidDel="00000000" w:rsidR="00000000" w:rsidRPr="00000000">
        <w:rPr>
          <w:rFonts w:ascii="Times New Roman" w:cs="Times New Roman" w:eastAsia="Times New Roman" w:hAnsi="Times New Roman"/>
          <w:b w:val="1"/>
          <w:sz w:val="28"/>
          <w:szCs w:val="28"/>
          <w:rtl w:val="0"/>
        </w:rPr>
        <w:t xml:space="preserve">28</w:t>
      </w:r>
      <w:r w:rsidDel="00000000" w:rsidR="00000000" w:rsidRPr="00000000">
        <w:rPr>
          <w:rFonts w:ascii="Times New Roman" w:cs="Times New Roman" w:eastAsia="Times New Roman" w:hAnsi="Times New Roman"/>
          <w:b w:val="1"/>
          <w:color w:val="000000"/>
          <w:sz w:val="28"/>
          <w:szCs w:val="28"/>
          <w:rtl w:val="0"/>
        </w:rPr>
        <w:t xml:space="preserve"> березня 2023 року                     м. Сквира                          №20</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color w:val="000000"/>
          <w:sz w:val="28"/>
          <w:szCs w:val="28"/>
          <w:rtl w:val="0"/>
        </w:rPr>
        <w:t xml:space="preserve">31-VIII</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Програми фінансової підтримки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Збройних сил України, реалізації заходів та робіт з</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територіальної оборони на 2023 рік</w:t>
      </w:r>
    </w:p>
    <w:p w:rsidR="00000000" w:rsidDel="00000000" w:rsidP="00000000" w:rsidRDefault="00000000" w:rsidRPr="00000000" w14:paraId="0000000B">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аконів України «Про оборону України», «Про Збройні  Сили України», «Про місцеве самоврядування в  Україні»,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основи національного спротиву», Указу Президента  України від 11.02.2016 №44/2016  «Про  шефську  допомогу військовим частинам Збройних Сил України, Національної гвардії України та Державної прикордонної служби України», враховуючи висновки і рекомендації постійних комісій, Сквирська міська рада VІІІ скликання</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ИЛА:</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1.Затвердити </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Програму фінансової підтримки Збройних сил України, реалізації заходів та робіт з територіальної оборони на 2023 рік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(додається).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Контроль за виконанням рішення покласти на постійну комісію Сквирської міської ради з питань бюджету та фінансів, соціально-економічного розвитку</w:t>
      </w:r>
      <w:r w:rsidDel="00000000" w:rsidR="00000000" w:rsidRPr="00000000">
        <w:rPr>
          <w:rFonts w:ascii="Times New Roman" w:cs="Times New Roman" w:eastAsia="Times New Roman" w:hAnsi="Times New Roman"/>
          <w:sz w:val="28"/>
          <w:szCs w:val="28"/>
          <w:rtl w:val="0"/>
        </w:rPr>
        <w:t xml:space="preserve"> та постійну комісію Сквирської міської ради з питань регламенту, депутатської етики, законності та правопорядку.</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w:t>
        <w:tab/>
        <w:t xml:space="preserve">       Валентина ЛЕВІЦЬКА</w:t>
      </w:r>
    </w:p>
    <w:p w:rsidR="00000000" w:rsidDel="00000000" w:rsidP="00000000" w:rsidRDefault="00000000" w:rsidRPr="00000000" w14:paraId="00000014">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hd w:fill="ffffff" w:val="clear"/>
        <w:spacing w:after="96" w:line="240" w:lineRule="auto"/>
        <w:jc w:val="both"/>
        <w:rPr>
          <w:rFonts w:ascii="Arial" w:cs="Arial" w:eastAsia="Arial" w:hAnsi="Arial"/>
          <w:b w:val="1"/>
          <w:i w:val="1"/>
          <w:color w:val="000000"/>
          <w:sz w:val="18"/>
          <w:szCs w:val="18"/>
        </w:rPr>
      </w:pPr>
      <w:r w:rsidDel="00000000" w:rsidR="00000000" w:rsidRPr="00000000">
        <w:rPr>
          <w:rtl w:val="0"/>
        </w:rPr>
      </w:r>
    </w:p>
    <w:p w:rsidR="00000000" w:rsidDel="00000000" w:rsidP="00000000" w:rsidRDefault="00000000" w:rsidRPr="00000000" w14:paraId="00000017">
      <w:pPr>
        <w:shd w:fill="ffffff" w:val="clear"/>
        <w:spacing w:after="96" w:line="240" w:lineRule="auto"/>
        <w:jc w:val="both"/>
        <w:rPr>
          <w:rFonts w:ascii="Arial" w:cs="Arial" w:eastAsia="Arial" w:hAnsi="Arial"/>
          <w:b w:val="1"/>
          <w:i w:val="1"/>
          <w:color w:val="000000"/>
          <w:sz w:val="18"/>
          <w:szCs w:val="18"/>
        </w:rPr>
      </w:pPr>
      <w:r w:rsidDel="00000000" w:rsidR="00000000" w:rsidRPr="00000000">
        <w:rPr>
          <w:rtl w:val="0"/>
        </w:rPr>
      </w:r>
    </w:p>
    <w:p w:rsidR="00000000" w:rsidDel="00000000" w:rsidP="00000000" w:rsidRDefault="00000000" w:rsidRPr="00000000" w14:paraId="00000018">
      <w:pPr>
        <w:shd w:fill="ffffff" w:val="clear"/>
        <w:spacing w:after="96" w:line="240" w:lineRule="auto"/>
        <w:jc w:val="both"/>
        <w:rPr>
          <w:rFonts w:ascii="Arial" w:cs="Arial" w:eastAsia="Arial" w:hAnsi="Arial"/>
          <w:b w:val="1"/>
          <w:i w:val="1"/>
          <w:color w:val="000000"/>
          <w:sz w:val="18"/>
          <w:szCs w:val="18"/>
        </w:rPr>
      </w:pPr>
      <w:r w:rsidDel="00000000" w:rsidR="00000000" w:rsidRPr="00000000">
        <w:rPr>
          <w:rtl w:val="0"/>
        </w:rPr>
      </w:r>
    </w:p>
    <w:p w:rsidR="00000000" w:rsidDel="00000000" w:rsidP="00000000" w:rsidRDefault="00000000" w:rsidRPr="00000000" w14:paraId="00000019">
      <w:pPr>
        <w:shd w:fill="ffffff" w:val="clear"/>
        <w:spacing w:after="96" w:line="240" w:lineRule="auto"/>
        <w:jc w:val="both"/>
        <w:rPr>
          <w:rFonts w:ascii="Arial" w:cs="Arial" w:eastAsia="Arial" w:hAnsi="Arial"/>
          <w:b w:val="1"/>
          <w:i w:val="1"/>
          <w:color w:val="000000"/>
          <w:sz w:val="18"/>
          <w:szCs w:val="18"/>
        </w:rPr>
      </w:pPr>
      <w:r w:rsidDel="00000000" w:rsidR="00000000" w:rsidRPr="00000000">
        <w:rPr>
          <w:rtl w:val="0"/>
        </w:rPr>
      </w:r>
    </w:p>
    <w:p w:rsidR="00000000" w:rsidDel="00000000" w:rsidP="00000000" w:rsidRDefault="00000000" w:rsidRPr="00000000" w14:paraId="0000001A">
      <w:pPr>
        <w:spacing w:after="280" w:before="28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B">
      <w:pPr>
        <w:spacing w:after="280" w:before="28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shd w:fill="ffffff" w:val="clear"/>
        <w:spacing w:after="0" w:lineRule="auto"/>
        <w:ind w:firstLine="5102.3622047244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w:t>
      </w:r>
    </w:p>
    <w:p w:rsidR="00000000" w:rsidDel="00000000" w:rsidP="00000000" w:rsidRDefault="00000000" w:rsidRPr="00000000" w14:paraId="0000001F">
      <w:pPr>
        <w:shd w:fill="ffffff" w:val="clear"/>
        <w:spacing w:after="0" w:lineRule="auto"/>
        <w:ind w:firstLine="5102.3622047244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Сквирської міської ради</w:t>
      </w:r>
    </w:p>
    <w:p w:rsidR="00000000" w:rsidDel="00000000" w:rsidP="00000000" w:rsidRDefault="00000000" w:rsidRPr="00000000" w14:paraId="00000020">
      <w:pPr>
        <w:shd w:fill="ffffff" w:val="clear"/>
        <w:spacing w:after="0" w:lineRule="auto"/>
        <w:ind w:firstLine="5102.3622047244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28.03.2023 №20-31-VIII</w:t>
      </w:r>
    </w:p>
    <w:p w:rsidR="00000000" w:rsidDel="00000000" w:rsidP="00000000" w:rsidRDefault="00000000" w:rsidRPr="00000000" w14:paraId="00000021">
      <w:pPr>
        <w:spacing w:after="0" w:line="240" w:lineRule="auto"/>
        <w:jc w:val="right"/>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2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Програма фінансової підтримки</w:t>
      </w:r>
    </w:p>
    <w:p w:rsidR="00000000" w:rsidDel="00000000" w:rsidP="00000000" w:rsidRDefault="00000000" w:rsidRPr="00000000" w14:paraId="0000002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Збройних сил України, реалізації заходів та робіт з</w:t>
      </w:r>
    </w:p>
    <w:p w:rsidR="00000000" w:rsidDel="00000000" w:rsidP="00000000" w:rsidRDefault="00000000" w:rsidRPr="00000000" w14:paraId="0000002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територіальної оборони на 2023 рік</w:t>
      </w:r>
    </w:p>
    <w:p w:rsidR="00000000" w:rsidDel="00000000" w:rsidP="00000000" w:rsidRDefault="00000000" w:rsidRPr="00000000" w14:paraId="0000002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 Паспорт </w:t>
      </w:r>
      <w:r w:rsidDel="00000000" w:rsidR="00000000" w:rsidRPr="00000000">
        <w:rPr>
          <w:rFonts w:ascii="Times New Roman" w:cs="Times New Roman" w:eastAsia="Times New Roman" w:hAnsi="Times New Roman"/>
          <w:b w:val="1"/>
          <w:sz w:val="28"/>
          <w:szCs w:val="28"/>
          <w:rtl w:val="0"/>
        </w:rPr>
        <w:t xml:space="preserve">П</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рограми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tbl>
      <w:tblPr>
        <w:tblStyle w:val="Table1"/>
        <w:tblW w:w="9339.0" w:type="dxa"/>
        <w:jc w:val="left"/>
        <w:tblBorders>
          <w:top w:color="000000" w:space="0" w:sz="6" w:val="single"/>
          <w:left w:color="000000" w:space="0" w:sz="6" w:val="single"/>
          <w:bottom w:color="000000" w:space="0" w:sz="6" w:val="single"/>
          <w:right w:color="000000" w:space="0" w:sz="6" w:val="single"/>
        </w:tblBorders>
        <w:tblLayout w:type="fixed"/>
        <w:tblLook w:val="0000"/>
      </w:tblPr>
      <w:tblGrid>
        <w:gridCol w:w="3934"/>
        <w:gridCol w:w="100"/>
        <w:gridCol w:w="5305"/>
        <w:tblGridChange w:id="0">
          <w:tblGrid>
            <w:gridCol w:w="3934"/>
            <w:gridCol w:w="100"/>
            <w:gridCol w:w="530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7">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Ініціатор розроблення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8">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9">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Виконавчий комітет Сквирської міської ради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A">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Розробник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B">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C">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Виконавчий комітет Сквирської міської ради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D">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Співрозробники програми (у разі наявності)</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E">
            <w:pPr>
              <w:spacing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F">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Сектор  </w:t>
            </w:r>
            <w:r w:rsidDel="00000000" w:rsidR="00000000" w:rsidRPr="00000000">
              <w:rPr>
                <w:rFonts w:ascii="Times New Roman" w:cs="Times New Roman" w:eastAsia="Times New Roman" w:hAnsi="Times New Roman"/>
                <w:color w:val="000000"/>
                <w:sz w:val="28"/>
                <w:szCs w:val="28"/>
                <w:highlight w:val="white"/>
                <w:rtl w:val="0"/>
              </w:rPr>
              <w:t xml:space="preserve">цивільного захисту мобілізаційної та оборонної роботи  міської ради</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0">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Відповідальний   виконавець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1">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2">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Сектор  </w:t>
            </w:r>
            <w:r w:rsidDel="00000000" w:rsidR="00000000" w:rsidRPr="00000000">
              <w:rPr>
                <w:rFonts w:ascii="Times New Roman" w:cs="Times New Roman" w:eastAsia="Times New Roman" w:hAnsi="Times New Roman"/>
                <w:color w:val="000000"/>
                <w:sz w:val="28"/>
                <w:szCs w:val="28"/>
                <w:highlight w:val="white"/>
                <w:rtl w:val="0"/>
              </w:rPr>
              <w:t xml:space="preserve">цивільного захисту мобілізаційної та оборонної роботи  міської ради, фінансове управління міської ради</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3">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Учасники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4">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5">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 підрозділи ЗСУ, військові частини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6">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Термін реалізації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7">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8">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рік</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9">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Перелік місцевих бюджетів, які беруть участь у виконанні програми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A">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B">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Бюджет Сквирської міської територіальної громади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C">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Загальний обсяг фінансових ресурсів, необхідних для реалізації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D">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E">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Визначається рішенням сесії Сквирської міської ради про бюджет громади на 2023 рік</w:t>
            </w:r>
          </w:p>
        </w:tc>
      </w:tr>
    </w:tbl>
    <w:p w:rsidR="00000000" w:rsidDel="00000000" w:rsidP="00000000" w:rsidRDefault="00000000" w:rsidRPr="00000000" w14:paraId="0000003F">
      <w:pPr>
        <w:spacing w:after="280" w:before="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ІІ. Обґрунтування необхідності розроблення та реалізації Програми</w:t>
      </w:r>
    </w:p>
    <w:p w:rsidR="00000000" w:rsidDel="00000000" w:rsidP="00000000" w:rsidRDefault="00000000" w:rsidRPr="00000000" w14:paraId="00000040">
      <w:pPr>
        <w:shd w:fill="ffffff" w:val="clear"/>
        <w:spacing w:after="0" w:line="240" w:lineRule="auto"/>
        <w:ind w:firstLine="6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Згідно із Законом України «Про основи національного спротиву» територіальна оборона є невід’ємною складовою оборони України, яка є системою загальнодержавних, військових і спеціальних заходів, що здійснюються у мирний час та в особливий період з метою протидії воєнним загрозам, а також для надання допомоги у захисті населення, територій, навколишнього природного середовища та майна від надзвичайних ситуацій.</w:t>
      </w:r>
    </w:p>
    <w:p w:rsidR="00000000" w:rsidDel="00000000" w:rsidP="00000000" w:rsidRDefault="00000000" w:rsidRPr="00000000" w14:paraId="00000041">
      <w:pPr>
        <w:shd w:fill="ffffff" w:val="clear"/>
        <w:spacing w:after="0" w:line="240" w:lineRule="auto"/>
        <w:ind w:firstLine="6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забезпечення державного суверенітету, територіальної цілісності та недоторканості України, захисту та охорони життя, прав, свобод і законних інтересів громадян, суспільства і держави від злочинних та інших протиправних посягань, відповідно до Законів України «Про оборону України», «Про основи національного спротиву», «Про Збройні  Сили України», «Про місцеве самоврядування в  Україні», Указу Президента  України від 11.02.2016 №44/2016  «Про  шефську  допомогу військовим частинам Збройних Сил України, Національної гвардії України та Державної прикордонної служби України» на місцеві органи виконавчої влади, органи  місцевого  самоврядування  покладається  надання  допомоги у забезпеченні військових частин матеріально-технічними засобами для виконання  військового  обов’язку.  </w:t>
      </w:r>
    </w:p>
    <w:p w:rsidR="00000000" w:rsidDel="00000000" w:rsidP="00000000" w:rsidRDefault="00000000" w:rsidRPr="00000000" w14:paraId="00000042">
      <w:pPr>
        <w:shd w:fill="ffffff" w:val="clear"/>
        <w:spacing w:after="0" w:line="240" w:lineRule="auto"/>
        <w:ind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Програма фінансової підтримки Збройних сил України, реалізації заходів та робіт з територіальної оборони на 2023 рік (далі - Програма) розроблена з метою матеріального забезпечення військових частин Збройних сил України, СБУ, Національної Гвардії та підрозділів територіальної оборони для їх оптимального функціонування, виконання ними поставлених завдань.</w:t>
      </w:r>
    </w:p>
    <w:p w:rsidR="00000000" w:rsidDel="00000000" w:rsidP="00000000" w:rsidRDefault="00000000" w:rsidRPr="00000000" w14:paraId="00000043">
      <w:pPr>
        <w:shd w:fill="ffffff" w:val="clear"/>
        <w:spacing w:after="0" w:line="240" w:lineRule="auto"/>
        <w:ind w:firstLine="6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Існує необхідність забезпечення військових частин, сил територіальної оборони та добровольчих формувань територіальних громад до виконання завдань територіальної оборони направлених на:</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своєчасне реагування та вжиття необхідних заходів щодо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борони території та захисту населення на визначеній місцевості до моменту розгортання в межах такої території угруповання військ (сил) або/чи угруповання об’єднаних сил, призначених для ведення воєнних (бойових) дій з відсічі збройної агресії проти України;</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у підготовці громадян України до національного спротиву;</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у   забезпеченні   умов    для   безпечного   функціонування органів державної влади, інших державних органів, органів місцевого   самоврядування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органів військового управління;</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умов для стратегічного (оперативного) розгортання військ (сил) або їх перегрупування;</w:t>
      </w:r>
    </w:p>
    <w:p w:rsidR="00000000" w:rsidDel="00000000" w:rsidP="00000000" w:rsidRDefault="00000000" w:rsidRPr="00000000" w14:paraId="0000004A">
      <w:pPr>
        <w:shd w:fill="ffffff" w:val="clea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w:t>
      </w:r>
    </w:p>
    <w:p w:rsidR="00000000" w:rsidDel="00000000" w:rsidP="00000000" w:rsidRDefault="00000000" w:rsidRPr="00000000" w14:paraId="0000004B">
      <w:pPr>
        <w:shd w:fill="ffffff" w:val="clea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участь у забезпеченні заходів громадської безпеки і порядку в населених пунктах;</w:t>
      </w:r>
    </w:p>
    <w:p w:rsidR="00000000" w:rsidDel="00000000" w:rsidP="00000000" w:rsidRDefault="00000000" w:rsidRPr="00000000" w14:paraId="0000004C">
      <w:pPr>
        <w:shd w:fill="ffffff" w:val="clea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w:t>
      </w:r>
    </w:p>
    <w:p w:rsidR="00000000" w:rsidDel="00000000" w:rsidP="00000000" w:rsidRDefault="00000000" w:rsidRPr="00000000" w14:paraId="0000004D">
      <w:pPr>
        <w:shd w:fill="ffffff" w:val="clea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rsidR="00000000" w:rsidDel="00000000" w:rsidP="00000000" w:rsidRDefault="00000000" w:rsidRPr="00000000" w14:paraId="0000004E">
      <w:pPr>
        <w:spacing w:after="280" w:before="28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ІІІ. Визначення мети Програми</w:t>
      </w:r>
      <w:r w:rsidDel="00000000" w:rsidR="00000000" w:rsidRPr="00000000">
        <w:rPr>
          <w:rtl w:val="0"/>
        </w:rPr>
      </w:r>
    </w:p>
    <w:p w:rsidR="00000000" w:rsidDel="00000000" w:rsidP="00000000" w:rsidRDefault="00000000" w:rsidRPr="00000000" w14:paraId="0000004F">
      <w:pPr>
        <w:shd w:fill="ffffff" w:val="clear"/>
        <w:spacing w:line="240" w:lineRule="auto"/>
        <w:ind w:firstLine="680"/>
        <w:jc w:val="both"/>
        <w:rPr>
          <w:rFonts w:ascii="Times New Roman" w:cs="Times New Roman" w:eastAsia="Times New Roman" w:hAnsi="Times New Roman"/>
          <w:color w:val="000000"/>
          <w:sz w:val="28"/>
          <w:szCs w:val="28"/>
        </w:rPr>
      </w:pPr>
      <w:r w:rsidDel="00000000" w:rsidR="00000000" w:rsidRPr="00000000">
        <w:rPr>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Мета Програми – забезпечення належних умов для якісного виконання завдань  та  підтримки  високого  рівня  боєготовності  військових частин Збройних сил України, СБУ, Національної Гвардії та підрозділів територіальної оборони, а саме:</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0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обороноздатності та мобілізаційної  готовності держави;</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0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налагодження ефективного цивільно – військового співробітництва;</w:t>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0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сприяння розвитку та функціонуванню цивільної складової територіальної оборони на території громади;</w:t>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0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умов  для  повноцінної  підготовки  до  виконання  поставлених завдань перед військовою частиною, підрозділами територіальної оборони.</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4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ІV. Обґрунтування шляхів і засобів розв’язання проблеми, обсягів та джерел фінансування; строки та етапи виконання Програми</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661417322834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рограма передбачає розв’язання проблем матеріально-технічного забезпечення військових частин Збройних сил України, СБУ, Національної Гвардії та підрозділів територіальної оборони, фінансування заходів з територіальної оборони.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Забезпечення  фінансування здійснюється за рахунок коштів бюджету громади (у межах наявних фінансових можливостей) у вигляді субвенції з місцевого бюджету державному бюджету на  виконання програм соціально-економічного розвитку регіонів.</w:t>
      </w:r>
    </w:p>
    <w:p w:rsidR="00000000" w:rsidDel="00000000" w:rsidP="00000000" w:rsidRDefault="00000000" w:rsidRPr="00000000" w14:paraId="00000059">
      <w:pPr>
        <w:tabs>
          <w:tab w:val="left" w:leader="none" w:pos="56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Фінансування заходів Програми здійснюється винятково за умови затвердження бюджетних призначень на її виконання рішенням сесії міської ради про місцевий бюджет на відповідний рік (рішенням про внесення змін до бюджету на відповідний рік) згідно з розписом бюджету. </w:t>
      </w:r>
    </w:p>
    <w:p w:rsidR="00000000" w:rsidDel="00000000" w:rsidP="00000000" w:rsidRDefault="00000000" w:rsidRPr="00000000" w14:paraId="0000005A">
      <w:pPr>
        <w:tabs>
          <w:tab w:val="left" w:leader="none" w:pos="56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Обсяги та джерела фінансування Програми викладені в додатку 1.</w:t>
      </w:r>
    </w:p>
    <w:p w:rsidR="00000000" w:rsidDel="00000000" w:rsidP="00000000" w:rsidRDefault="00000000" w:rsidRPr="00000000" w14:paraId="0000005B">
      <w:pPr>
        <w:tabs>
          <w:tab w:val="left" w:leader="none" w:pos="56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Реалізація Програми розрахована на 2023 рік.  </w:t>
      </w:r>
    </w:p>
    <w:p w:rsidR="00000000" w:rsidDel="00000000" w:rsidP="00000000" w:rsidRDefault="00000000" w:rsidRPr="00000000" w14:paraId="0000005C">
      <w:pPr>
        <w:tabs>
          <w:tab w:val="left" w:leader="none" w:pos="56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D">
      <w:pPr>
        <w:tabs>
          <w:tab w:val="left" w:leader="none" w:pos="56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  Напрями діяльності та заходи Програми</w:t>
      </w:r>
    </w:p>
    <w:p w:rsidR="00000000" w:rsidDel="00000000" w:rsidP="00000000" w:rsidRDefault="00000000" w:rsidRPr="00000000" w14:paraId="0000005E">
      <w:pPr>
        <w:tabs>
          <w:tab w:val="left" w:leader="none" w:pos="566"/>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метою реалізації Програми визначено пріоритетні напрями та заходи, а також відповідальних за дотримання термінів їх виконання, джерела та обсягів фінансування з розподілом на відповідні періоди (додаток 2).</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VІ. Очікувані результати та ефективність Програми</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Реалізація заходів програми дозволить:</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-покращити матеріально-технічне забезпечення бази військових частин, інших підрозділів Збройних Сил України;</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-підвищить ефективність цивільно-військового співробітництва;</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-сприятиме обороноздатності та мобілізаційної готовності держави.</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VІІ. Фінансове забезпечення Програми</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заходів Програми здійснюється за рахунок коштів бюджету Сквирської міської територіальної громади.</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VІІІ.  Координація та контроль за ходом виконання Програми</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Загальний контроль за виконанням Програми здійснюється постійною депутатською комісією з планування бюджету та фінансів, соціально-економічного розвитку </w:t>
      </w:r>
      <w:r w:rsidDel="00000000" w:rsidR="00000000" w:rsidRPr="00000000">
        <w:rPr>
          <w:rFonts w:ascii="Times New Roman" w:cs="Times New Roman" w:eastAsia="Times New Roman" w:hAnsi="Times New Roman"/>
          <w:sz w:val="28"/>
          <w:szCs w:val="28"/>
          <w:rtl w:val="0"/>
        </w:rPr>
        <w:t xml:space="preserve">та постійною комісією Сквирської міської ради з питань регламенту, депутатської етики, законності та правопорядку.</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Відповідальний виконавець програми щороку, не пізніше ніж у двомісячний строк, складає звіт про результати її виконання та подає його на розгляд сесії.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Завідувач сектору цивільного захисту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мобілізаційної та оборонної роботи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sz w:val="28"/>
          <w:szCs w:val="28"/>
          <w:highlight w:val="white"/>
          <w:rtl w:val="0"/>
        </w:rPr>
        <w:t xml:space="preserve">Сквирської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міської ради                                                             Анна ВІТЮК</w:t>
      </w:r>
      <w:r w:rsidDel="00000000" w:rsidR="00000000" w:rsidRPr="00000000">
        <w:rPr>
          <w:rtl w:val="0"/>
        </w:rPr>
      </w:r>
    </w:p>
    <w:p w:rsidR="00000000" w:rsidDel="00000000" w:rsidP="00000000" w:rsidRDefault="00000000" w:rsidRPr="00000000" w14:paraId="00000075">
      <w:pPr>
        <w:shd w:fill="ffffff" w:val="clear"/>
        <w:spacing w:after="0" w:line="240" w:lineRule="auto"/>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6">
      <w:pPr>
        <w:shd w:fill="ffffff" w:val="clear"/>
        <w:spacing w:after="0" w:line="240" w:lineRule="auto"/>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7">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8">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9">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A">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B">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C">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D">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E">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F">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0">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1">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2">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3">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4">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5">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6">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7">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8">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9">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A">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B">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C">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D">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E">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F">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0">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1">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2">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3">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4">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5">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6">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7">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8">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9">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A">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B">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C">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D">
      <w:pPr>
        <w:shd w:fill="ffffff" w:val="clea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E">
      <w:pPr>
        <w:shd w:fill="ffffff" w:val="clear"/>
        <w:spacing w:after="0" w:line="24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1 до Програми</w:t>
      </w:r>
    </w:p>
    <w:p w:rsidR="00000000" w:rsidDel="00000000" w:rsidP="00000000" w:rsidRDefault="00000000" w:rsidRPr="00000000" w14:paraId="0000009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Ресурсне забезпечення  </w:t>
      </w:r>
    </w:p>
    <w:p w:rsidR="00000000" w:rsidDel="00000000" w:rsidP="00000000" w:rsidRDefault="00000000" w:rsidRPr="00000000" w14:paraId="000000A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Програми фінансової підтримки</w:t>
      </w:r>
    </w:p>
    <w:p w:rsidR="00000000" w:rsidDel="00000000" w:rsidP="00000000" w:rsidRDefault="00000000" w:rsidRPr="00000000" w14:paraId="000000A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Збройних сил України, реалізації заходів та робіт з</w:t>
      </w:r>
    </w:p>
    <w:p w:rsidR="00000000" w:rsidDel="00000000" w:rsidP="00000000" w:rsidRDefault="00000000" w:rsidRPr="00000000" w14:paraId="000000A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територіальної оборони на 2023 рік</w:t>
      </w:r>
    </w:p>
    <w:p w:rsidR="00000000" w:rsidDel="00000000" w:rsidP="00000000" w:rsidRDefault="00000000" w:rsidRPr="00000000" w14:paraId="000000A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0A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7">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2"/>
        <w:tblW w:w="9450.0" w:type="dxa"/>
        <w:jc w:val="left"/>
        <w:tblInd w:w="-102.0" w:type="dxa"/>
        <w:tblLayout w:type="fixed"/>
        <w:tblLook w:val="0000"/>
      </w:tblPr>
      <w:tblGrid>
        <w:gridCol w:w="3970"/>
        <w:gridCol w:w="2411"/>
        <w:gridCol w:w="142"/>
        <w:gridCol w:w="2927"/>
        <w:tblGridChange w:id="0">
          <w:tblGrid>
            <w:gridCol w:w="3970"/>
            <w:gridCol w:w="2411"/>
            <w:gridCol w:w="142"/>
            <w:gridCol w:w="2927"/>
          </w:tblGrid>
        </w:tblGridChange>
      </w:tblGrid>
      <w:tr>
        <w:trPr>
          <w:cantSplit w:val="0"/>
          <w:trHeight w:val="1009" w:hRule="atLeast"/>
          <w:tblHeader w:val="0"/>
        </w:trPr>
        <w:tc>
          <w:tcPr>
            <w:vMerge w:val="restart"/>
            <w:tcBorders>
              <w:top w:color="000000" w:space="0" w:sz="6" w:val="single"/>
              <w:left w:color="000000" w:space="0" w:sz="6" w:val="single"/>
              <w:right w:color="000000" w:space="0" w:sz="6" w:val="single"/>
            </w:tcBorders>
            <w:shd w:fill="ffffff" w:val="clear"/>
            <w:vAlign w:val="center"/>
          </w:tcPr>
          <w:p w:rsidR="00000000" w:rsidDel="00000000" w:rsidP="00000000" w:rsidRDefault="00000000" w:rsidRPr="00000000" w14:paraId="000000A8">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Джерела фінансування</w:t>
            </w:r>
          </w:p>
        </w:tc>
        <w:tc>
          <w:tcPr>
            <w:gridSpan w:val="3"/>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0A9">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Обсяг коштів, які</w:t>
            </w:r>
          </w:p>
          <w:p w:rsidR="00000000" w:rsidDel="00000000" w:rsidP="00000000" w:rsidRDefault="00000000" w:rsidRPr="00000000" w14:paraId="000000AA">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пропонується залучити для виконання Програми (тис.грн)</w:t>
            </w:r>
            <w:r w:rsidDel="00000000" w:rsidR="00000000" w:rsidRPr="00000000">
              <w:rPr>
                <w:rtl w:val="0"/>
              </w:rPr>
            </w:r>
          </w:p>
        </w:tc>
      </w:tr>
      <w:tr>
        <w:trPr>
          <w:cantSplit w:val="0"/>
          <w:trHeight w:val="190" w:hRule="atLeast"/>
          <w:tblHeader w:val="0"/>
        </w:trPr>
        <w:tc>
          <w:tcPr>
            <w:vMerge w:val="continue"/>
            <w:tcBorders>
              <w:top w:color="000000" w:space="0" w:sz="6" w:val="single"/>
              <w:left w:color="000000" w:space="0" w:sz="6" w:val="single"/>
              <w:right w:color="000000" w:space="0" w:sz="6" w:val="single"/>
            </w:tcBorders>
            <w:shd w:fill="ffffff" w:val="clear"/>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6" w:val="single"/>
              <w:left w:color="000000" w:space="0" w:sz="6" w:val="single"/>
              <w:bottom w:color="000000" w:space="0" w:sz="4" w:val="single"/>
              <w:right w:color="000000" w:space="0" w:sz="4" w:val="single"/>
            </w:tcBorders>
            <w:shd w:fill="ffffff" w:val="clear"/>
            <w:vAlign w:val="center"/>
          </w:tcPr>
          <w:p w:rsidR="00000000" w:rsidDel="00000000" w:rsidP="00000000" w:rsidRDefault="00000000" w:rsidRPr="00000000" w14:paraId="000000AE">
            <w:pPr>
              <w:shd w:fill="ffffff" w:val="clear"/>
              <w:spacing w:after="0" w:line="240" w:lineRule="auto"/>
              <w:ind w:left="-39"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рік</w:t>
            </w:r>
          </w:p>
        </w:tc>
        <w:tc>
          <w:tcPr>
            <w:tcBorders>
              <w:top w:color="000000" w:space="0" w:sz="6" w:val="single"/>
              <w:left w:color="000000" w:space="0" w:sz="4" w:val="single"/>
              <w:right w:color="000000" w:space="0" w:sz="4" w:val="single"/>
            </w:tcBorders>
            <w:shd w:fill="ffffff" w:val="clear"/>
            <w:vAlign w:val="center"/>
          </w:tcPr>
          <w:p w:rsidR="00000000" w:rsidDel="00000000" w:rsidP="00000000" w:rsidRDefault="00000000" w:rsidRPr="00000000" w14:paraId="000000B0">
            <w:pPr>
              <w:shd w:fill="ffffff" w:val="clear"/>
              <w:spacing w:after="0" w:line="240" w:lineRule="auto"/>
              <w:ind w:left="137"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Всього</w:t>
            </w:r>
          </w:p>
        </w:tc>
      </w:tr>
      <w:tr>
        <w:trPr>
          <w:cantSplit w:val="1"/>
          <w:trHeight w:val="777"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1">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Місцевий бюджет, у тому числі:</w:t>
            </w:r>
          </w:p>
        </w:tc>
        <w:tc>
          <w:tcPr>
            <w:tcBorders>
              <w:top w:color="000000" w:space="0" w:sz="4" w:val="single"/>
              <w:left w:color="000000" w:space="0" w:sz="6" w:val="single"/>
              <w:bottom w:color="000000" w:space="0" w:sz="6" w:val="single"/>
            </w:tcBorders>
            <w:shd w:fill="ffffff" w:val="clear"/>
          </w:tcPr>
          <w:p w:rsidR="00000000" w:rsidDel="00000000" w:rsidP="00000000" w:rsidRDefault="00000000" w:rsidRPr="00000000" w14:paraId="000000B2">
            <w:pPr>
              <w:spacing w:after="0" w:line="240" w:lineRule="auto"/>
              <w:ind w:left="811" w:hanging="811"/>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30,0</w:t>
            </w:r>
          </w:p>
        </w:tc>
        <w:tc>
          <w:tcPr>
            <w:tcBorders>
              <w:top w:color="000000" w:space="0" w:sz="4" w:val="single"/>
              <w:left w:color="000000" w:space="0" w:sz="0" w:val="nil"/>
              <w:bottom w:color="000000" w:space="0" w:sz="4" w:val="single"/>
              <w:right w:color="000000" w:space="0" w:sz="4" w:val="single"/>
            </w:tcBorders>
            <w:shd w:fill="ffffff" w:val="clear"/>
          </w:tcPr>
          <w:p w:rsidR="00000000" w:rsidDel="00000000" w:rsidP="00000000" w:rsidRDefault="00000000" w:rsidRPr="00000000" w14:paraId="000000B3">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shd w:fill="ffffff" w:val="clear"/>
          </w:tcPr>
          <w:p w:rsidR="00000000" w:rsidDel="00000000" w:rsidP="00000000" w:rsidRDefault="00000000" w:rsidRPr="00000000" w14:paraId="000000B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30,0</w:t>
            </w:r>
          </w:p>
        </w:tc>
      </w:tr>
      <w:tr>
        <w:trPr>
          <w:cantSplit w:val="1"/>
          <w:trHeight w:val="845"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5">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Бюджет Сквирської міської територіальної громади </w:t>
            </w:r>
          </w:p>
        </w:tc>
        <w:tc>
          <w:tcPr>
            <w:tcBorders>
              <w:top w:color="000000" w:space="0" w:sz="6" w:val="single"/>
              <w:left w:color="000000" w:space="0" w:sz="6" w:val="single"/>
              <w:bottom w:color="000000" w:space="0" w:sz="6" w:val="single"/>
            </w:tcBorders>
            <w:shd w:fill="ffffff" w:val="clear"/>
          </w:tcPr>
          <w:p w:rsidR="00000000" w:rsidDel="00000000" w:rsidP="00000000" w:rsidRDefault="00000000" w:rsidRPr="00000000" w14:paraId="000000B6">
            <w:pPr>
              <w:spacing w:after="0" w:line="240" w:lineRule="auto"/>
              <w:ind w:left="811" w:hanging="811"/>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30,0</w:t>
            </w:r>
          </w:p>
        </w:tc>
        <w:tc>
          <w:tcPr>
            <w:tcBorders>
              <w:top w:color="000000" w:space="0" w:sz="4" w:val="single"/>
              <w:left w:color="000000" w:space="0" w:sz="0" w:val="nil"/>
              <w:bottom w:color="000000" w:space="0" w:sz="4" w:val="single"/>
              <w:right w:color="000000" w:space="0" w:sz="4" w:val="single"/>
            </w:tcBorders>
            <w:shd w:fill="ffffff" w:val="clear"/>
          </w:tcPr>
          <w:p w:rsidR="00000000" w:rsidDel="00000000" w:rsidP="00000000" w:rsidRDefault="00000000" w:rsidRPr="00000000" w14:paraId="000000B7">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6" w:val="single"/>
              <w:left w:color="000000" w:space="0" w:sz="4" w:val="single"/>
              <w:bottom w:color="000000" w:space="0" w:sz="4" w:val="single"/>
              <w:right w:color="000000" w:space="0" w:sz="6" w:val="single"/>
            </w:tcBorders>
            <w:shd w:fill="ffffff" w:val="clear"/>
          </w:tcPr>
          <w:p w:rsidR="00000000" w:rsidDel="00000000" w:rsidP="00000000" w:rsidRDefault="00000000" w:rsidRPr="00000000" w14:paraId="000000B8">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30,0</w:t>
            </w:r>
          </w:p>
        </w:tc>
      </w:tr>
      <w:tr>
        <w:trPr>
          <w:cantSplit w:val="1"/>
          <w:trHeight w:val="715"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9">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Державний бюджет</w:t>
            </w:r>
          </w:p>
        </w:tc>
        <w:tc>
          <w:tcPr>
            <w:tcBorders>
              <w:top w:color="000000" w:space="0" w:sz="6" w:val="single"/>
              <w:left w:color="000000" w:space="0" w:sz="6" w:val="single"/>
              <w:bottom w:color="000000" w:space="0" w:sz="6" w:val="single"/>
            </w:tcBorders>
            <w:shd w:fill="ffffff" w:val="clear"/>
          </w:tcPr>
          <w:p w:rsidR="00000000" w:rsidDel="00000000" w:rsidP="00000000" w:rsidRDefault="00000000" w:rsidRPr="00000000" w14:paraId="000000BA">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0,00</w:t>
            </w:r>
          </w:p>
        </w:tc>
        <w:tc>
          <w:tcPr>
            <w:tcBorders>
              <w:top w:color="000000" w:space="0" w:sz="4" w:val="single"/>
              <w:left w:color="000000" w:space="0" w:sz="0" w:val="nil"/>
              <w:bottom w:color="000000" w:space="0" w:sz="6" w:val="single"/>
              <w:right w:color="000000" w:space="0" w:sz="4" w:val="single"/>
            </w:tcBorders>
            <w:shd w:fill="ffffff" w:val="clear"/>
          </w:tcPr>
          <w:p w:rsidR="00000000" w:rsidDel="00000000" w:rsidP="00000000" w:rsidRDefault="00000000" w:rsidRPr="00000000" w14:paraId="000000BB">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6" w:val="single"/>
              <w:right w:color="000000" w:space="0" w:sz="6" w:val="single"/>
            </w:tcBorders>
            <w:shd w:fill="ffffff" w:val="clear"/>
          </w:tcPr>
          <w:p w:rsidR="00000000" w:rsidDel="00000000" w:rsidP="00000000" w:rsidRDefault="00000000" w:rsidRPr="00000000" w14:paraId="000000BC">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0,00</w:t>
            </w:r>
          </w:p>
        </w:tc>
      </w:tr>
      <w:tr>
        <w:trPr>
          <w:cantSplit w:val="1"/>
          <w:trHeight w:val="715"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D">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РАЗОМ:</w:t>
            </w:r>
          </w:p>
        </w:tc>
        <w:tc>
          <w:tcPr>
            <w:tcBorders>
              <w:top w:color="000000" w:space="0" w:sz="6" w:val="single"/>
              <w:left w:color="000000" w:space="0" w:sz="6" w:val="single"/>
              <w:bottom w:color="000000" w:space="0" w:sz="6" w:val="single"/>
            </w:tcBorders>
            <w:shd w:fill="ffffff" w:val="clear"/>
          </w:tcPr>
          <w:p w:rsidR="00000000" w:rsidDel="00000000" w:rsidP="00000000" w:rsidRDefault="00000000" w:rsidRPr="00000000" w14:paraId="000000BE">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30,00</w:t>
            </w:r>
          </w:p>
        </w:tc>
        <w:tc>
          <w:tcPr>
            <w:tcBorders>
              <w:top w:color="000000" w:space="0" w:sz="4" w:val="single"/>
              <w:left w:color="000000" w:space="0" w:sz="0" w:val="nil"/>
              <w:bottom w:color="000000" w:space="0" w:sz="6" w:val="single"/>
              <w:right w:color="000000" w:space="0" w:sz="4" w:val="single"/>
            </w:tcBorders>
            <w:shd w:fill="ffffff" w:val="clear"/>
          </w:tcPr>
          <w:p w:rsidR="00000000" w:rsidDel="00000000" w:rsidP="00000000" w:rsidRDefault="00000000" w:rsidRPr="00000000" w14:paraId="000000BF">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6" w:val="single"/>
              <w:right w:color="000000" w:space="0" w:sz="6" w:val="single"/>
            </w:tcBorders>
            <w:shd w:fill="ffffff" w:val="clear"/>
          </w:tcPr>
          <w:p w:rsidR="00000000" w:rsidDel="00000000" w:rsidP="00000000" w:rsidRDefault="00000000" w:rsidRPr="00000000" w14:paraId="000000C0">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30,00</w:t>
            </w:r>
          </w:p>
        </w:tc>
      </w:tr>
    </w:tbl>
    <w:p w:rsidR="00000000" w:rsidDel="00000000" w:rsidP="00000000" w:rsidRDefault="00000000" w:rsidRPr="00000000" w14:paraId="000000C1">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shd w:fill="ffffff" w:val="clear"/>
        <w:spacing w:after="0"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spacing w:after="0" w:line="240" w:lineRule="auto"/>
        <w:jc w:val="both"/>
        <w:rPr>
          <w:rFonts w:ascii="Times New Roman" w:cs="Times New Roman" w:eastAsia="Times New Roman" w:hAnsi="Times New Roman"/>
          <w:sz w:val="24"/>
          <w:szCs w:val="24"/>
        </w:rPr>
        <w:sectPr>
          <w:pgSz w:h="16838" w:w="11906" w:orient="portrait"/>
          <w:pgMar w:bottom="709" w:top="1133.8582677165355" w:left="1700.787401574803" w:right="577.2047244094489" w:header="708" w:footer="708"/>
          <w:pgNumType w:start="1"/>
        </w:sectPr>
      </w:pPr>
      <w:r w:rsidDel="00000000" w:rsidR="00000000" w:rsidRPr="00000000">
        <w:rPr>
          <w:rtl w:val="0"/>
        </w:rPr>
      </w:r>
    </w:p>
    <w:p w:rsidR="00000000" w:rsidDel="00000000" w:rsidP="00000000" w:rsidRDefault="00000000" w:rsidRPr="00000000" w14:paraId="000000D1">
      <w:pPr>
        <w:tabs>
          <w:tab w:val="left" w:leader="none" w:pos="1080"/>
        </w:tabs>
        <w:spacing w:after="0" w:line="24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2 до Програми</w:t>
      </w:r>
    </w:p>
    <w:p w:rsidR="00000000" w:rsidDel="00000000" w:rsidP="00000000" w:rsidRDefault="00000000" w:rsidRPr="00000000" w14:paraId="000000D2">
      <w:pPr>
        <w:tabs>
          <w:tab w:val="left" w:leader="none" w:pos="1080"/>
        </w:tabs>
        <w:spacing w:after="0" w:line="240" w:lineRule="auto"/>
        <w:jc w:val="right"/>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D3">
      <w:pPr>
        <w:tabs>
          <w:tab w:val="left" w:leader="none" w:pos="1080"/>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Напрями діяльності та заходи Програми фінансової підтримки</w:t>
      </w:r>
    </w:p>
    <w:p w:rsidR="00000000" w:rsidDel="00000000" w:rsidP="00000000" w:rsidRDefault="00000000" w:rsidRPr="00000000" w14:paraId="000000D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Збройних сил України, реалізації заходів та робіт з</w:t>
      </w:r>
    </w:p>
    <w:p w:rsidR="00000000" w:rsidDel="00000000" w:rsidP="00000000" w:rsidRDefault="00000000" w:rsidRPr="00000000" w14:paraId="000000D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територіальної оборони на 2023 рік</w:t>
      </w:r>
    </w:p>
    <w:p w:rsidR="00000000" w:rsidDel="00000000" w:rsidP="00000000" w:rsidRDefault="00000000" w:rsidRPr="00000000" w14:paraId="000000D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12"/>
          <w:szCs w:val="12"/>
        </w:rPr>
      </w:pPr>
      <w:r w:rsidDel="00000000" w:rsidR="00000000" w:rsidRPr="00000000">
        <w:rPr>
          <w:rtl w:val="0"/>
        </w:rPr>
      </w:r>
    </w:p>
    <w:tbl>
      <w:tblPr>
        <w:tblStyle w:val="Table3"/>
        <w:tblW w:w="15330.0" w:type="dxa"/>
        <w:jc w:val="left"/>
        <w:tblInd w:w="392.0" w:type="dxa"/>
        <w:tblBorders>
          <w:top w:color="000000" w:space="0" w:sz="4" w:val="single"/>
          <w:left w:color="000000" w:space="0" w:sz="4" w:val="single"/>
          <w:right w:color="000000" w:space="0" w:sz="4" w:val="single"/>
        </w:tblBorders>
        <w:tblLayout w:type="fixed"/>
        <w:tblLook w:val="0000"/>
      </w:tblPr>
      <w:tblGrid>
        <w:gridCol w:w="540"/>
        <w:gridCol w:w="2700"/>
        <w:gridCol w:w="2760"/>
        <w:gridCol w:w="1275"/>
        <w:gridCol w:w="1410"/>
        <w:gridCol w:w="1440"/>
        <w:gridCol w:w="1275"/>
        <w:gridCol w:w="1410"/>
        <w:gridCol w:w="2520"/>
        <w:tblGridChange w:id="0">
          <w:tblGrid>
            <w:gridCol w:w="540"/>
            <w:gridCol w:w="2700"/>
            <w:gridCol w:w="2760"/>
            <w:gridCol w:w="1275"/>
            <w:gridCol w:w="1410"/>
            <w:gridCol w:w="1440"/>
            <w:gridCol w:w="1275"/>
            <w:gridCol w:w="1410"/>
            <w:gridCol w:w="2520"/>
          </w:tblGrid>
        </w:tblGridChange>
      </w:tblGrid>
      <w:tr>
        <w:trPr>
          <w:cantSplit w:val="0"/>
          <w:trHeight w:val="20" w:hRule="atLeast"/>
          <w:tblHeader w:val="1"/>
        </w:trPr>
        <w:tc>
          <w:tcPr>
            <w:vMerge w:val="restart"/>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D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з/п</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напряму</w:t>
            </w:r>
          </w:p>
          <w:p w:rsidR="00000000" w:rsidDel="00000000" w:rsidP="00000000" w:rsidRDefault="00000000" w:rsidRPr="00000000" w14:paraId="000000D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діяльності (пріоритетні завдання)</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Перелік заходів Програми </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Строк виконання</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Виконавці</w:t>
            </w:r>
          </w:p>
          <w:p w:rsidR="00000000" w:rsidDel="00000000" w:rsidP="00000000" w:rsidRDefault="00000000" w:rsidRPr="00000000" w14:paraId="000000D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Джерела фінансування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tabs>
                <w:tab w:val="left" w:leader="none" w:pos="742"/>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ind w:left="-84" w:right="-98"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Орієнтовні обсяги фінансування (тис.грн.)</w:t>
            </w:r>
          </w:p>
        </w:tc>
        <w:tc>
          <w:tcPr>
            <w:vMerge w:val="restart"/>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E1">
            <w:pPr>
              <w:tabs>
                <w:tab w:val="left" w:leader="none" w:pos="742"/>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ind w:left="-84" w:right="-98"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Очікуваний результат </w:t>
            </w:r>
          </w:p>
        </w:tc>
      </w:tr>
      <w:tr>
        <w:trPr>
          <w:cantSplit w:val="0"/>
          <w:trHeight w:val="20" w:hRule="atLeast"/>
          <w:tblHeader w:val="1"/>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tabs>
                <w:tab w:val="left" w:leader="none" w:pos="916"/>
                <w:tab w:val="left" w:leader="none" w:pos="1832"/>
                <w:tab w:val="left" w:leader="none" w:pos="2748"/>
                <w:tab w:val="left" w:leader="none" w:pos="3664"/>
                <w:tab w:val="left" w:leader="none" w:pos="4580"/>
                <w:tab w:val="left" w:leader="none" w:pos="5496"/>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Всього</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1423" w:hRule="atLeast"/>
          <w:tblHeader w:val="0"/>
        </w:trPr>
        <w:tc>
          <w:tcPr>
            <w:tcBorders>
              <w:top w:color="000000" w:space="0" w:sz="4" w:val="single"/>
              <w:right w:color="000000" w:space="0" w:sz="4" w:val="single"/>
            </w:tcBorders>
          </w:tcPr>
          <w:p w:rsidR="00000000" w:rsidDel="00000000" w:rsidP="00000000" w:rsidRDefault="00000000" w:rsidRPr="00000000" w14:paraId="000000E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E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Зміцнення матеріально-технічної бази військових частин Збройних сил України, СБУ, підрозділів територіальної оборони, добровольчих формувань, в тому числі шляхом передачі Передача субвенції з місцевого</w:t>
            </w:r>
            <w:r w:rsidDel="00000000" w:rsidR="00000000" w:rsidRPr="00000000">
              <w:rPr>
                <w:rFonts w:ascii="Times New Roman" w:cs="Times New Roman" w:eastAsia="Times New Roman" w:hAnsi="Times New Roman"/>
                <w:color w:val="000000"/>
                <w:sz w:val="26"/>
                <w:szCs w:val="26"/>
                <w:rtl w:val="0"/>
              </w:rPr>
              <w:t xml:space="preserve"> бюджету державному бюджету на </w:t>
            </w:r>
            <w:r w:rsidDel="00000000" w:rsidR="00000000" w:rsidRPr="00000000">
              <w:rPr>
                <w:rFonts w:ascii="Times New Roman" w:cs="Times New Roman" w:eastAsia="Times New Roman" w:hAnsi="Times New Roman"/>
                <w:sz w:val="26"/>
                <w:szCs w:val="26"/>
                <w:rtl w:val="0"/>
              </w:rPr>
              <w:t xml:space="preserve"> виконання програм соціально-економічного розвитку регіонів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Сприяння Збройним Силам України у комплектуванні та матеріально-технічному забезпеченні.</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w:t>
            </w:r>
          </w:p>
          <w:p w:rsidR="00000000" w:rsidDel="00000000" w:rsidP="00000000" w:rsidRDefault="00000000" w:rsidRPr="00000000" w14:paraId="000000E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F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1">
            <w:pPr>
              <w:tabs>
                <w:tab w:val="left" w:leader="none" w:pos="1080"/>
              </w:tabs>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Сквирська міська рада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2">
            <w:pPr>
              <w:tabs>
                <w:tab w:val="left" w:leader="none" w:pos="1080"/>
              </w:tabs>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Місцевий бюджет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30,0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ind w:right="-108"/>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30,0</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F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Підвищення рівня ефективності цивільно-військового співробітництва;</w:t>
            </w:r>
          </w:p>
          <w:p w:rsidR="00000000" w:rsidDel="00000000" w:rsidP="00000000" w:rsidRDefault="00000000" w:rsidRPr="00000000" w14:paraId="000000F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обороноздатності держави;</w:t>
            </w:r>
          </w:p>
          <w:p w:rsidR="00000000" w:rsidDel="00000000" w:rsidP="00000000" w:rsidRDefault="00000000" w:rsidRPr="00000000" w14:paraId="000000F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матеріально - технічного забезпечення військових підрозділів.</w:t>
            </w:r>
          </w:p>
        </w:tc>
      </w:tr>
      <w:tr>
        <w:trPr>
          <w:cantSplit w:val="0"/>
          <w:trHeight w:val="172" w:hRule="atLeast"/>
          <w:tblHeader w:val="0"/>
        </w:trPr>
        <w:tc>
          <w:tcPr>
            <w:tcBorders>
              <w:top w:color="000000" w:space="0" w:sz="4" w:val="single"/>
              <w:bottom w:color="000000" w:space="0" w:sz="4" w:val="single"/>
              <w:right w:color="000000" w:space="0" w:sz="4" w:val="single"/>
            </w:tcBorders>
            <w:shd w:fill="auto" w:val="clear"/>
          </w:tcPr>
          <w:p w:rsidR="00000000" w:rsidDel="00000000" w:rsidP="00000000" w:rsidRDefault="00000000" w:rsidRPr="00000000" w14:paraId="000000F8">
            <w:pPr>
              <w:spacing w:after="0" w:lineRule="auto"/>
              <w:jc w:val="both"/>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9">
            <w:pPr>
              <w:spacing w:after="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Всього</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A">
            <w:pPr>
              <w:tabs>
                <w:tab w:val="left" w:leader="none" w:pos="280"/>
                <w:tab w:val="left" w:leader="none" w:pos="498"/>
                <w:tab w:val="left" w:leader="none" w:pos="7380"/>
                <w:tab w:val="left" w:leader="none" w:pos="9360"/>
              </w:tabs>
              <w:spacing w:after="0" w:lineRule="auto"/>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Rule="auto"/>
              <w:jc w:val="center"/>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C">
            <w:pPr>
              <w:spacing w:after="0" w:lineRule="auto"/>
              <w:ind w:left="-63" w:right="-73" w:firstLine="0"/>
              <w:jc w:val="center"/>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D">
            <w:pPr>
              <w:tabs>
                <w:tab w:val="left" w:leader="none" w:pos="1201"/>
              </w:tabs>
              <w:spacing w:after="0" w:lineRule="auto"/>
              <w:jc w:val="center"/>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30,0</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0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10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Завідувач сектору цивільного захисту мобілізаційної    </w:t>
      </w:r>
    </w:p>
    <w:p w:rsidR="00000000" w:rsidDel="00000000" w:rsidP="00000000" w:rsidRDefault="00000000" w:rsidRPr="00000000" w14:paraId="00000102">
      <w:pPr>
        <w:spacing w:after="0" w:line="240" w:lineRule="auto"/>
        <w:ind w:firstLine="425.1968503937008"/>
        <w:jc w:val="both"/>
        <w:rPr>
          <w:rFonts w:ascii="Calibri" w:cs="Calibri" w:eastAsia="Calibri" w:hAnsi="Calibri"/>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sz w:val="28"/>
          <w:szCs w:val="28"/>
          <w:rtl w:val="0"/>
        </w:rPr>
        <w:t xml:space="preserve">та оборонної роботи Сквирської міської ради                                                                                                        Анна ВІТЮК</w:t>
      </w:r>
      <w:r w:rsidDel="00000000" w:rsidR="00000000" w:rsidRPr="00000000">
        <w:rPr>
          <w:rtl w:val="0"/>
        </w:rPr>
      </w:r>
    </w:p>
    <w:sectPr>
      <w:type w:val="nextPage"/>
      <w:pgSz w:h="11906" w:w="16838" w:orient="landscape"/>
      <w:pgMar w:bottom="1701" w:top="851" w:left="284" w:right="822"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040" w:hanging="360"/>
      </w:pPr>
      <w:rPr>
        <w:rFonts w:ascii="Times New Roman" w:cs="Times New Roman" w:eastAsia="Times New Roman" w:hAnsi="Times New Roman"/>
      </w:rPr>
    </w:lvl>
    <w:lvl w:ilvl="1">
      <w:start w:val="1"/>
      <w:numFmt w:val="bullet"/>
      <w:lvlText w:val="o"/>
      <w:lvlJc w:val="left"/>
      <w:pPr>
        <w:ind w:left="1760" w:hanging="360"/>
      </w:pPr>
      <w:rPr>
        <w:rFonts w:ascii="Courier New" w:cs="Courier New" w:eastAsia="Courier New" w:hAnsi="Courier New"/>
      </w:rPr>
    </w:lvl>
    <w:lvl w:ilvl="2">
      <w:start w:val="1"/>
      <w:numFmt w:val="bullet"/>
      <w:lvlText w:val="▪"/>
      <w:lvlJc w:val="left"/>
      <w:pPr>
        <w:ind w:left="2480" w:hanging="360"/>
      </w:pPr>
      <w:rPr>
        <w:rFonts w:ascii="Noto Sans Symbols" w:cs="Noto Sans Symbols" w:eastAsia="Noto Sans Symbols" w:hAnsi="Noto Sans Symbols"/>
      </w:rPr>
    </w:lvl>
    <w:lvl w:ilvl="3">
      <w:start w:val="1"/>
      <w:numFmt w:val="bullet"/>
      <w:lvlText w:val="●"/>
      <w:lvlJc w:val="left"/>
      <w:pPr>
        <w:ind w:left="3200" w:hanging="360"/>
      </w:pPr>
      <w:rPr>
        <w:rFonts w:ascii="Noto Sans Symbols" w:cs="Noto Sans Symbols" w:eastAsia="Noto Sans Symbols" w:hAnsi="Noto Sans Symbols"/>
      </w:rPr>
    </w:lvl>
    <w:lvl w:ilvl="4">
      <w:start w:val="1"/>
      <w:numFmt w:val="bullet"/>
      <w:lvlText w:val="o"/>
      <w:lvlJc w:val="left"/>
      <w:pPr>
        <w:ind w:left="3920" w:hanging="360"/>
      </w:pPr>
      <w:rPr>
        <w:rFonts w:ascii="Courier New" w:cs="Courier New" w:eastAsia="Courier New" w:hAnsi="Courier New"/>
      </w:rPr>
    </w:lvl>
    <w:lvl w:ilvl="5">
      <w:start w:val="1"/>
      <w:numFmt w:val="bullet"/>
      <w:lvlText w:val="▪"/>
      <w:lvlJc w:val="left"/>
      <w:pPr>
        <w:ind w:left="4640" w:hanging="360"/>
      </w:pPr>
      <w:rPr>
        <w:rFonts w:ascii="Noto Sans Symbols" w:cs="Noto Sans Symbols" w:eastAsia="Noto Sans Symbols" w:hAnsi="Noto Sans Symbols"/>
      </w:rPr>
    </w:lvl>
    <w:lvl w:ilvl="6">
      <w:start w:val="1"/>
      <w:numFmt w:val="bullet"/>
      <w:lvlText w:val="●"/>
      <w:lvlJc w:val="left"/>
      <w:pPr>
        <w:ind w:left="5360" w:hanging="360"/>
      </w:pPr>
      <w:rPr>
        <w:rFonts w:ascii="Noto Sans Symbols" w:cs="Noto Sans Symbols" w:eastAsia="Noto Sans Symbols" w:hAnsi="Noto Sans Symbols"/>
      </w:rPr>
    </w:lvl>
    <w:lvl w:ilvl="7">
      <w:start w:val="1"/>
      <w:numFmt w:val="bullet"/>
      <w:lvlText w:val="o"/>
      <w:lvlJc w:val="left"/>
      <w:pPr>
        <w:ind w:left="6080" w:hanging="360"/>
      </w:pPr>
      <w:rPr>
        <w:rFonts w:ascii="Courier New" w:cs="Courier New" w:eastAsia="Courier New" w:hAnsi="Courier New"/>
      </w:rPr>
    </w:lvl>
    <w:lvl w:ilvl="8">
      <w:start w:val="1"/>
      <w:numFmt w:val="bullet"/>
      <w:lvlText w:val="▪"/>
      <w:lvlJc w:val="left"/>
      <w:pPr>
        <w:ind w:left="68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50A38"/>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4601F6"/>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4">
    <w:name w:val="Strong"/>
    <w:basedOn w:val="a0"/>
    <w:uiPriority w:val="22"/>
    <w:qFormat w:val="1"/>
    <w:rsid w:val="004601F6"/>
    <w:rPr>
      <w:b w:val="1"/>
      <w:bCs w:val="1"/>
    </w:rPr>
  </w:style>
  <w:style w:type="character" w:styleId="a5">
    <w:name w:val="Emphasis"/>
    <w:basedOn w:val="a0"/>
    <w:uiPriority w:val="20"/>
    <w:qFormat w:val="1"/>
    <w:rsid w:val="004601F6"/>
    <w:rPr>
      <w:i w:val="1"/>
      <w:iCs w:val="1"/>
    </w:rPr>
  </w:style>
  <w:style w:type="character" w:styleId="apple-converted-space" w:customStyle="1">
    <w:name w:val="apple-converted-space"/>
    <w:basedOn w:val="a0"/>
    <w:rsid w:val="004601F6"/>
  </w:style>
  <w:style w:type="paragraph" w:styleId="a6">
    <w:name w:val="Balloon Text"/>
    <w:basedOn w:val="a"/>
    <w:link w:val="a7"/>
    <w:uiPriority w:val="99"/>
    <w:semiHidden w:val="1"/>
    <w:unhideWhenUsed w:val="1"/>
    <w:rsid w:val="00874629"/>
    <w:pPr>
      <w:spacing w:after="0" w:line="240" w:lineRule="auto"/>
    </w:pPr>
    <w:rPr>
      <w:rFonts w:ascii="Tahoma" w:cs="Tahoma" w:hAnsi="Tahoma"/>
      <w:sz w:val="16"/>
      <w:szCs w:val="16"/>
    </w:rPr>
  </w:style>
  <w:style w:type="character" w:styleId="a7" w:customStyle="1">
    <w:name w:val="Текст выноски Знак"/>
    <w:basedOn w:val="a0"/>
    <w:link w:val="a6"/>
    <w:uiPriority w:val="99"/>
    <w:semiHidden w:val="1"/>
    <w:rsid w:val="00874629"/>
    <w:rPr>
      <w:rFonts w:ascii="Tahoma" w:cs="Tahoma" w:hAnsi="Tahoma"/>
      <w:sz w:val="16"/>
      <w:szCs w:val="16"/>
    </w:rPr>
  </w:style>
  <w:style w:type="paragraph" w:styleId="p5" w:customStyle="1">
    <w:name w:val="p5"/>
    <w:basedOn w:val="a"/>
    <w:rsid w:val="00EF75B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8" w:customStyle="1">
    <w:name w:val="Знак Знак Знак Знак Знак"/>
    <w:basedOn w:val="a"/>
    <w:rsid w:val="00D57A40"/>
    <w:pPr>
      <w:spacing w:after="0" w:line="240" w:lineRule="auto"/>
    </w:pPr>
    <w:rPr>
      <w:rFonts w:ascii="Verdana" w:cs="Verdana" w:eastAsia="Times New Roman" w:hAnsi="Verdana"/>
      <w:sz w:val="20"/>
      <w:szCs w:val="20"/>
      <w:lang w:val="uk-UA"/>
    </w:rPr>
  </w:style>
  <w:style w:type="paragraph" w:styleId="a9">
    <w:name w:val="List Paragraph"/>
    <w:basedOn w:val="a"/>
    <w:uiPriority w:val="34"/>
    <w:qFormat w:val="1"/>
    <w:rsid w:val="001C750E"/>
    <w:pPr>
      <w:ind w:left="720"/>
      <w:contextualSpacing w:val="1"/>
    </w:pPr>
  </w:style>
  <w:style w:type="paragraph" w:styleId="2">
    <w:name w:val="Body Text 2"/>
    <w:basedOn w:val="a"/>
    <w:link w:val="20"/>
    <w:rsid w:val="000E04BB"/>
    <w:pPr>
      <w:spacing w:after="0" w:line="240" w:lineRule="auto"/>
      <w:jc w:val="both"/>
    </w:pPr>
    <w:rPr>
      <w:rFonts w:ascii="Times New Roman" w:cs="Times New Roman" w:eastAsia="Times New Roman" w:hAnsi="Times New Roman"/>
      <w:sz w:val="28"/>
      <w:szCs w:val="24"/>
      <w:lang w:eastAsia="ru-RU" w:val="uk-UA"/>
    </w:rPr>
  </w:style>
  <w:style w:type="character" w:styleId="20" w:customStyle="1">
    <w:name w:val="Основной текст 2 Знак"/>
    <w:basedOn w:val="a0"/>
    <w:link w:val="2"/>
    <w:rsid w:val="000E04BB"/>
    <w:rPr>
      <w:rFonts w:ascii="Times New Roman" w:cs="Times New Roman" w:eastAsia="Times New Roman" w:hAnsi="Times New Roman"/>
      <w:sz w:val="28"/>
      <w:szCs w:val="24"/>
      <w:lang w:eastAsia="ru-RU" w:val="uk-UA"/>
    </w:rPr>
  </w:style>
  <w:style w:type="paragraph" w:styleId="aa">
    <w:name w:val="No Spacing"/>
    <w:uiPriority w:val="1"/>
    <w:qFormat w:val="1"/>
    <w:rsid w:val="00B72B2D"/>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5zVS6HKD/g0v7EFCpaxpaLTK3cw==">AMUW2mU/0x02AuAd2/vTUeCc3B/BlQT6mIgPPZpFmUybe7wzp252PvTmLgE+etOeKu6hyVM1o76s9NsQukEHYvXcMIXTv2iSiv6mkFJMNt+8E3g8I3lUYCKYOhb1RjVtFb+pnX3cjzB3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2023-03-10T11:01:00Z</dcterms:created>
  <dc:creator>Image&amp;Matros ®</dc:creator>
</cp:coreProperties>
</file>