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0A5AD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ind w:left="666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textWrapping"/>
        <w:t>Додаток 1</w:t>
        <w:br w:type="textWrapping"/>
        <w:t>до Методики визначення відновної вартості зелених насаджень</w:t>
      </w:r>
    </w:p>
    <w:p>
      <w:pPr>
        <w:pStyle w:val="P1"/>
      </w:pPr>
      <w:r>
        <w:t xml:space="preserve">                                                               АКТ №111</w:t>
      </w:r>
    </w:p>
    <w:p>
      <w:pPr>
        <w:spacing w:lineRule="auto" w:line="240" w:after="0" w:beforeAutospacing="0" w:afterAutospacing="0"/>
        <w:jc w:val="center"/>
        <w:outlineLvl w:val="2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обстеження зелених насаджень, що підлягають санітарній обрізці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Сквира</w:t>
              <w:br w:type="textWrapping"/>
              <w:t>(Сквирська міська територіальна громада)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 серпня    2023 року 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vanish w:val="1"/>
          <w:sz w:val="24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Комісію призначено виконавчим комітетом Сквирської міської ради</w:t>
              <w:br w:type="textWrapping"/>
              <w:t>                                                                              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vanish w:val="1"/>
          <w:sz w:val="24"/>
        </w:rPr>
      </w:pPr>
    </w:p>
    <w:tbl>
      <w:tblPr>
        <w:tblW w:w="10293" w:type="dxa"/>
        <w:jc w:val="center"/>
        <w:tblCellSpacing w:w="22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Голова комісії:</w:t>
            </w:r>
            <w:r>
              <w:rPr>
                <w:rFonts w:ascii="Times New Roman" w:hAnsi="Times New Roman"/>
                <w:sz w:val="24"/>
              </w:rPr>
              <w:t xml:space="preserve"> 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ернова М.В.- 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Заступник голови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Шутенко С.О.- В.о. директора КП «Сквираблагоустрій».</w:t>
            </w:r>
          </w:p>
        </w:tc>
      </w:tr>
      <w:tr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Дорошенко А.М.- Заступник директора КП «Сквираблагоустрій».</w:t>
            </w:r>
          </w:p>
        </w:tc>
      </w:tr>
      <w:tr>
        <w:trPr>
          <w:trHeight w:hRule="atLeast" w:val="1335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Ільченко Ю.В.- депутат міської ради.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Головня О.М. – депутат міської ради.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Крауз Ю.О.- головний спеціаліст-державний інспектор за використанням та охороною земель відділу з питань земельних ресурсів та кадастру Сквирської міської ради; представник державної екологічної інспекції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Гурковський О.А. – представник лісового господарства.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Старостинський округ №10 с. Тхорівка помічник старости Кищук А.В. - заявник.  </w:t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vanish w:val="1"/>
          <w:sz w:val="24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Комісія оглянула зелені насадження на території Сквирської територіальної громади</w:t>
            </w:r>
          </w:p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Обстеження зелених насаджень пов'язано з досягненням деревами вікової межі, </w:t>
            </w:r>
            <w:r>
              <w:rPr>
                <w:rFonts w:ascii="Times New Roman" w:hAnsi="Times New Roman"/>
                <w:b w:val="1"/>
                <w:sz w:val="24"/>
              </w:rPr>
              <w:t>санітарній обрізці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аварійних, сухостійних та вражених омелою дерев.</w:t>
            </w:r>
          </w:p>
        </w:tc>
      </w:tr>
    </w:tbl>
    <w:p>
      <w:pPr>
        <w:spacing w:lineRule="atLeast" w:line="36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Зелені насадження, що підлягають санітарній обрізці:</w:t>
      </w:r>
    </w:p>
    <w:tbl>
      <w:tblPr>
        <w:tblW w:w="5843" w:type="pct"/>
        <w:jc w:val="center"/>
        <w:tblBorders>
          <w:top w:val="single" w:sz="6" w:space="0" w:shadow="0" w:frame="0" w:color="989898"/>
          <w:left w:val="single" w:sz="6" w:space="0" w:shadow="0" w:frame="0" w:color="989898"/>
          <w:bottom w:val="single" w:sz="6" w:space="0" w:shadow="0" w:frame="0" w:color="989898"/>
          <w:right w:val="single" w:sz="6" w:space="0" w:shadow="0" w:frame="0" w:color="989898"/>
        </w:tblBorders>
        <w:shd w:val="clear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/>
      <w:tr>
        <w:trPr>
          <w:gridAfter w:val="1"/>
          <w:wAfter w:w="289" w:type="pct"/>
          <w:trHeight w:hRule="atLeast" w:val="1378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з/п 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Вид зелених насаджень 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Вік</w:t>
              <w:br w:type="textWrapping"/>
              <w:t>(років) 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Висота</w:t>
              <w:br w:type="textWrapping"/>
              <w:t>(м) 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Діаметр стовбура на висоті 1,3 метра від землі</w:t>
              <w:br w:type="textWrapping"/>
              <w:t>(см) 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Кількість</w:t>
              <w:br w:type="textWrapping"/>
              <w:t>(шт.) 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Якісний стан зелених насаджень (</w:t>
            </w: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>HYPERLINK "http://search.ligazakon.ua/l_doc2.nsf/link1/RE32432.html" \t "_top"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color w:val="008000"/>
                <w:sz w:val="18"/>
              </w:rPr>
              <w:t>добрий</w:t>
            </w:r>
            <w:r>
              <w:rPr>
                <w:rFonts w:ascii="Times New Roman" w:hAnsi="Times New Roman"/>
                <w:color w:val="008000"/>
                <w:sz w:val="18"/>
              </w:rPr>
              <w:fldChar w:fldCharType="end"/>
            </w:r>
            <w:r>
              <w:rPr>
                <w:rFonts w:ascii="Times New Roman" w:hAnsi="Times New Roman"/>
                <w:sz w:val="18"/>
              </w:rPr>
              <w:t>, задовільний, незадовільний) 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Підлягає обрізці</w:t>
              <w:br w:type="textWrapping"/>
              <w:t>(шт.) 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Підлягає пересаджуванню</w:t>
              <w:br w:type="textWrapping"/>
              <w:t>(шт.) </w:t>
            </w:r>
          </w:p>
        </w:tc>
      </w:tr>
      <w:tr>
        <w:trPr>
          <w:gridAfter w:val="1"/>
          <w:wAfter w:w="289" w:type="pct"/>
          <w:jc w:val="center"/>
        </w:trPr>
        <w:tc>
          <w:tcPr>
            <w:tcW w:w="4711" w:type="pct"/>
            <w:gridSpan w:val="1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              С. Тхорівка вул. Сквирська поряд пам’ятник «Великі Вітчизняній війні»</w:t>
            </w:r>
          </w:p>
        </w:tc>
      </w:tr>
      <w:tr>
        <w:trPr>
          <w:gridAfter w:val="1"/>
          <w:wAfter w:w="289" w:type="pct"/>
          <w:trHeight w:hRule="atLeast" w:val="614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Липа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18-20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13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Каштан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18-20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74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Каштан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18-20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Каштан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18-20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Каштан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18-20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Береза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Липа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2"/>
          <w:wAfter w:w="363" w:type="pct"/>
          <w:trHeight w:hRule="atLeast" w:val="542"/>
          <w:jc w:val="center"/>
        </w:trPr>
        <w:tc>
          <w:tcPr>
            <w:tcW w:w="4637" w:type="pct"/>
            <w:gridSpan w:val="11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Вул. Сквирська №44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Ясен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60-70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22-24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Липа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Акація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Акація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22-24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Акація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Ясен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20-22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gridAfter w:val="1"/>
          <w:wAfter w:w="289" w:type="pct"/>
          <w:trHeight w:hRule="atLeast" w:val="542"/>
          <w:jc w:val="center"/>
        </w:trPr>
        <w:tc>
          <w:tcPr>
            <w:tcW w:w="335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14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088" w:leader="none"/>
              </w:tabs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Акація </w:t>
            </w:r>
          </w:p>
        </w:tc>
        <w:tc>
          <w:tcPr>
            <w:tcW w:w="396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50-60</w:t>
            </w:r>
          </w:p>
        </w:tc>
        <w:tc>
          <w:tcPr>
            <w:tcW w:w="397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22-24</w:t>
            </w:r>
          </w:p>
        </w:tc>
        <w:tc>
          <w:tcPr>
            <w:tcW w:w="569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362" w:type="pc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18" w:type="pct"/>
            <w:gridSpan w:val="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Borders>
              <w:top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Разом підлягає пересаджуванню </w:t>
            </w:r>
          </w:p>
        </w:tc>
        <w:tc>
          <w:tcPr>
            <w:tcW w:w="496" w:type="pct"/>
            <w:gridSpan w:val="2"/>
            <w:tcBorders>
              <w:top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__</w:t>
            </w:r>
            <w:r>
              <w:rPr>
                <w:rFonts w:ascii="Times New Roman" w:hAnsi="Times New Roman"/>
                <w:b w:val="1"/>
                <w:color w:val="FF0000"/>
                <w:sz w:val="24"/>
              </w:rPr>
              <w:t>_------</w:t>
            </w:r>
          </w:p>
        </w:tc>
        <w:tc>
          <w:tcPr>
            <w:tcW w:w="1237" w:type="pct"/>
            <w:gridSpan w:val="2"/>
            <w:tcBorders>
              <w:top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 </w:t>
            </w:r>
          </w:p>
        </w:tc>
        <w:tc>
          <w:tcPr>
            <w:tcW w:w="767" w:type="pct"/>
            <w:gridSpan w:val="3"/>
            <w:tcBorders>
              <w:top w:val="single" w:sz="4" w:space="0" w:shadow="0" w:fram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P7"/>
              <w:numPr>
                <w:ilvl w:val="0"/>
                <w:numId w:val="1"/>
              </w:num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Разом підлягає санітарній обрізці</w:t>
            </w:r>
          </w:p>
        </w:tc>
        <w:tc>
          <w:tcPr>
            <w:tcW w:w="49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color w:val="FF0000"/>
                <w:sz w:val="24"/>
              </w:rPr>
              <w:t xml:space="preserve">    _14__ </w:t>
            </w:r>
          </w:p>
        </w:tc>
        <w:tc>
          <w:tcPr>
            <w:tcW w:w="12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 </w:t>
            </w:r>
          </w:p>
        </w:tc>
        <w:tc>
          <w:tcPr>
            <w:tcW w:w="767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P7"/>
              <w:numPr>
                <w:ilvl w:val="0"/>
                <w:numId w:val="1"/>
              </w:num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vanish w:val="1"/>
          <w:sz w:val="24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Всього обрізається: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 </w:t>
            </w:r>
          </w:p>
        </w:tc>
      </w:tr>
      <w:tr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color w:val="FF0000"/>
                <w:sz w:val="24"/>
                <w:u w:val="single"/>
              </w:rPr>
              <w:t>_____________14__________</w:t>
            </w:r>
            <w:r>
              <w:rPr>
                <w:rFonts w:ascii="Times New Roman" w:hAnsi="Times New Roman"/>
                <w:sz w:val="24"/>
                <w:u w:val="single"/>
              </w:rPr>
              <w:t>одиниць </w:t>
            </w:r>
          </w:p>
        </w:tc>
      </w:tr>
      <w:tr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0      ___одиниць </w:t>
            </w:r>
          </w:p>
        </w:tc>
      </w:tr>
      <w:tr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0                       га </w:t>
            </w:r>
          </w:p>
        </w:tc>
      </w:tr>
      <w:tr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0                      м</w:t>
            </w:r>
            <w:r>
              <w:rPr>
                <w:rFonts w:ascii="Times New Roman" w:hAnsi="Times New Roman"/>
                <w:sz w:val="24"/>
                <w:u w:val="single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u w:val="single"/>
              </w:rPr>
              <w:t> </w:t>
            </w:r>
          </w:p>
        </w:tc>
      </w:tr>
    </w:tbl>
    <w:p>
      <w:pPr>
        <w:spacing w:lineRule="atLeast" w:line="36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_________________-____________________________гривень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_________________-____________________________гривень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__________________-____________________________гривень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__________________-____________________________гривень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"http://search.ligazakon.ua/l_doc2.nsf/link1/RE21879.html"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8080"/>
                <w:sz w:val="24"/>
              </w:rPr>
              <w:t>Разом</w:t>
            </w:r>
            <w:r>
              <w:rPr>
                <w:rFonts w:ascii="Times New Roman" w:hAnsi="Times New Roman"/>
                <w:color w:val="008080"/>
                <w:sz w:val="24"/>
              </w:rPr>
              <w:fldChar w:fldCharType="end"/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__________________-____________________________гривень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</w:tbl>
    <w:p>
      <w:pPr>
        <w:spacing w:lineRule="atLeast" w:line="36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shadow="0" w:frame="0" w:color="989898"/>
          <w:left w:val="single" w:sz="6" w:space="0" w:shadow="0" w:frame="0" w:color="989898"/>
          <w:bottom w:val="single" w:sz="6" w:space="0" w:shadow="0" w:frame="0" w:color="989898"/>
          <w:right w:val="single" w:sz="6" w:space="0" w:shadow="0" w:frame="0" w:color="989898"/>
        </w:tblBorders>
        <w:shd w:val="clear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/>
      <w:tr>
        <w:trPr>
          <w:jc w:val="center"/>
        </w:trPr>
        <w:tc>
          <w:tcPr>
            <w:tcW w:w="2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з/п </w:t>
            </w:r>
          </w:p>
        </w:tc>
        <w:tc>
          <w:tcPr>
            <w:tcW w:w="9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Вік</w:t>
              <w:br w:type="textWrapping"/>
              <w:t>(років) </w:t>
            </w:r>
          </w:p>
        </w:tc>
        <w:tc>
          <w:tcPr>
            <w:tcW w:w="7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Висота</w:t>
              <w:br w:type="textWrapping"/>
              <w:t>(м) </w:t>
            </w:r>
          </w:p>
        </w:tc>
        <w:tc>
          <w:tcPr>
            <w:tcW w:w="8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Діаметр стовбура на висоті 1,3 метра від землі</w:t>
              <w:br w:type="textWrapping"/>
              <w:t>(см) </w:t>
            </w:r>
          </w:p>
        </w:tc>
        <w:tc>
          <w:tcPr>
            <w:tcW w:w="6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Кількість</w:t>
              <w:br w:type="textWrapping"/>
              <w:t>(шт.) </w:t>
            </w:r>
          </w:p>
        </w:tc>
        <w:tc>
          <w:tcPr>
            <w:tcW w:w="12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Якісний стан зелених насаджень</w:t>
              <w:br w:type="textWrapping"/>
              <w:t>(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"http://search.ligazakon.ua/l_doc2.nsf/link1/RE32432.html"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8000"/>
                <w:sz w:val="24"/>
              </w:rPr>
              <w:t>добрий</w:t>
            </w:r>
            <w:r>
              <w:rPr>
                <w:rFonts w:ascii="Times New Roman" w:hAnsi="Times New Roman"/>
                <w:color w:val="008000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, задовільний, незадовільний) </w:t>
            </w:r>
          </w:p>
        </w:tc>
      </w:tr>
      <w:tr>
        <w:trPr>
          <w:jc w:val="center"/>
        </w:trPr>
        <w:tc>
          <w:tcPr>
            <w:tcW w:w="2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</w:p>
        </w:tc>
        <w:tc>
          <w:tcPr>
            <w:tcW w:w="9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 </w:t>
            </w:r>
          </w:p>
        </w:tc>
        <w:tc>
          <w:tcPr>
            <w:tcW w:w="4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 </w:t>
            </w:r>
          </w:p>
        </w:tc>
        <w:tc>
          <w:tcPr>
            <w:tcW w:w="7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 </w:t>
            </w:r>
          </w:p>
        </w:tc>
        <w:tc>
          <w:tcPr>
            <w:tcW w:w="8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- </w:t>
            </w:r>
          </w:p>
        </w:tc>
        <w:tc>
          <w:tcPr>
            <w:tcW w:w="65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- </w:t>
            </w:r>
          </w:p>
        </w:tc>
        <w:tc>
          <w:tcPr>
            <w:tcW w:w="1200" w:type="pct"/>
            <w:tcBorders>
              <w:top w:val="single" w:sz="6" w:space="0" w:shadow="0" w:frame="0" w:color="989898"/>
              <w:left w:val="single" w:sz="6" w:space="0" w:shadow="0" w:frame="0" w:color="989898"/>
              <w:bottom w:val="single" w:sz="6" w:space="0" w:shadow="0" w:frame="0" w:color="989898"/>
              <w:right w:val="single" w:sz="6" w:space="0" w:shadow="0" w:fram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- 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Усього залишається на місці: 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______________-___________________________одиниць 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___________________-___________________________одиниць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____________________-________________________________га</w:t>
            </w: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blPrEx>
          <w:tblCellSpacing w:w="22" w:type="dxa"/>
          <w:tblBorders>
            <w:top w:val="none" w:sz="0" w:space="0" w:shadow="0" w:frame="0" w:color="auto"/>
            <w:left w:val="none" w:sz="0" w:space="0" w:shadow="0" w:frame="0" w:color="auto"/>
            <w:bottom w:val="none" w:sz="0" w:space="0" w:shadow="0" w:frame="0" w:color="auto"/>
            <w:right w:val="none" w:sz="0" w:space="0" w:shadow="0" w:fram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____________________-________________________________м</w:t>
            </w:r>
            <w:r>
              <w:rPr>
                <w:rFonts w:ascii="Times New Roman" w:hAnsi="Times New Roman"/>
                <w:sz w:val="24"/>
                <w:vertAlign w:val="superscript"/>
              </w:rPr>
              <w:t>2 </w:t>
            </w:r>
          </w:p>
        </w:tc>
      </w:tr>
    </w:tbl>
    <w:p>
      <w:pPr>
        <w:spacing w:lineRule="atLeast" w:line="36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"http://search.ligazakon.ua/l_doc2.nsf/link1/RE21879.html" \t "_top"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b w:val="1"/>
          <w:sz w:val="24"/>
        </w:rPr>
        <w:t>4. Визначення відновної вартості зелених насаджень відповідно до проектної документації:</w:t>
      </w:r>
      <w:r>
        <w:rPr>
          <w:rFonts w:ascii="Times New Roman" w:hAnsi="Times New Roman"/>
          <w:b w:val="1"/>
          <w:sz w:val="24"/>
        </w:rPr>
        <w:fldChar w:fldCharType="end"/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fldChar w:fldCharType="begin"/>
            </w:r>
            <w:r>
              <w:rPr>
                <w:rFonts w:ascii="Times New Roman" w:hAnsi="Times New Roman"/>
                <w:b w:val="1"/>
                <w:sz w:val="24"/>
              </w:rPr>
              <w:instrText>HYPERLINK "http://search.ligazakon.ua/l_doc2.nsf/link1/RE32432.html" \t "_top"</w:instrText>
            </w:r>
            <w:r>
              <w:rPr>
                <w:rFonts w:ascii="Times New Roman" w:hAnsi="Times New Roman"/>
                <w:b w:val="1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Сума, передбачена в проектній документації на озеленення території, _-_ гривень.</w:t>
              <w:br w:type="textWrapping"/>
              <w:t>                          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</w:tc>
      </w:tr>
    </w:tbl>
    <w:p>
      <w:pPr>
        <w:spacing w:lineRule="auto" w:line="240" w:after="0" w:beforeAutospacing="0" w:afterAutospacing="0"/>
        <w:rPr>
          <w:rFonts w:ascii="Times New Roman" w:hAnsi="Times New Roman"/>
          <w:vanish w:val="1"/>
          <w:sz w:val="24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vanish w:val="1"/>
                <w:sz w:val="24"/>
              </w:rPr>
              <w:fldChar w:fldCharType="begin"/>
            </w:r>
            <w:r>
              <w:rPr>
                <w:rFonts w:ascii="Times New Roman" w:hAnsi="Times New Roman"/>
                <w:vanish w:val="1"/>
                <w:sz w:val="24"/>
              </w:rPr>
              <w:instrText>HYPERLINK "http://search.ligazakon.ua/l_doc2.nsf/link1/RE21879.html" \t "_top"</w:instrText>
            </w:r>
            <w:r>
              <w:rPr>
                <w:rFonts w:ascii="Times New Roman" w:hAnsi="Times New Roman"/>
                <w:vanish w:val="1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Сума відновної вартості зелених насаджень, що підлягає сплаті, визначається за формулою: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"http://search.ligazakon.ua/l_doc2.nsf/link1/RE21879.html"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Сдс = Вв - Со,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"http://search.ligazakon.ua/l_doc2.nsf/link1/RE21879.html"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де Сдс - сума відновної вартості зелених насаджень, що підлягає сплаті;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"http://search.ligazakon.ua/l_doc2.nsf/link1/RE21879.html"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Вв - сума відновної вартості зелених насаджень, зазначена у позиції "Разом" пункту 2 цього акта;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"http://search.ligazakon.ua/l_doc2.nsf/link1/RE32432.html" \t "_top"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Со - сума, передбачена в проектній документації на озеленення території.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tLeast" w:line="36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Висновок комісії:</w:t>
      </w:r>
    </w:p>
    <w:p>
      <w:pPr>
        <w:spacing w:lineRule="auto" w:line="240" w:after="0" w:beforeAutospacing="0" w:afterAutospacing="0"/>
        <w:ind w:firstLine="426"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Комісією проведено обстеження дерев на території Сквирської територіальної громади, в результані якого встановлено: пошкодження зелених насаджень шкідниками, досягнення деревами вікової межі призвело їх до незадовільного стану, Дані дерева сухі, дуплисті , вражені прикороненою та серцевинною гниллю, заселені стовбуровими шкідниками, підлягають видаленню відповідно до п, 2 Порядку видалення дерев, кущів, газонів і клумб в населених пунктах, затвердженого постаново Кабінету Міністрів України від 01.08.2006 року № 1045 (із змінами) (надалі Порядок). </w:t>
      </w:r>
    </w:p>
    <w:p>
      <w:pPr>
        <w:spacing w:lineRule="auto" w:line="240" w:after="0" w:beforeAutospacing="0" w:afterAutospacing="0"/>
        <w:ind w:firstLine="426"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Санітарній обрізці підлягає</w:t>
      </w:r>
      <w:r>
        <w:rPr>
          <w:rFonts w:ascii="Times New Roman" w:hAnsi="Times New Roman"/>
          <w:b w:val="1"/>
          <w:color w:val="FF0000"/>
          <w:sz w:val="24"/>
        </w:rPr>
        <w:t xml:space="preserve"> _14_ </w:t>
      </w:r>
      <w:r>
        <w:rPr>
          <w:rFonts w:ascii="Times New Roman" w:hAnsi="Times New Roman"/>
          <w:b w:val="1"/>
          <w:color w:val="FF0000"/>
          <w:sz w:val="24"/>
          <w:u w:val="single"/>
        </w:rPr>
        <w:t>(чотирнадцять)</w:t>
      </w:r>
      <w:r>
        <w:rPr>
          <w:rFonts w:ascii="Times New Roman" w:hAnsi="Times New Roman"/>
          <w:b w:val="1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дерева без сплати відновної вартості зелених насаджень відповідно п.6 Порядку.</w:t>
      </w:r>
    </w:p>
    <w:p>
      <w:pPr>
        <w:spacing w:lineRule="auto" w:line="240" w:after="0" w:beforeAutospacing="0" w:afterAutospacing="0"/>
        <w:ind w:firstLine="426"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Видалення зелених насаджень можливе за наявності ордера.</w:t>
      </w:r>
    </w:p>
    <w:p>
      <w:pPr>
        <w:spacing w:lineRule="auto" w:line="240" w:after="0" w:beforeAutospacing="0" w:afterAutospacing="0"/>
        <w:ind w:firstLine="426"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Провести компенсаційне озеленення в найближчий сезон, сприятливий для висаджування дерев і кущів, але не пізніше року з моменту видалення зелених насаджень. Компенсаційні насадження провести посадковим матеріалом в кількості не менше </w:t>
      </w:r>
      <w:r>
        <w:rPr>
          <w:rFonts w:ascii="Times New Roman" w:hAnsi="Times New Roman"/>
          <w:b w:val="1"/>
          <w:color w:val="FF0000"/>
          <w:sz w:val="24"/>
        </w:rPr>
        <w:t>_</w:t>
      </w:r>
      <w:r>
        <w:rPr>
          <w:rFonts w:ascii="Times New Roman" w:hAnsi="Times New Roman"/>
          <w:sz w:val="24"/>
        </w:rPr>
        <w:t>штук з доглядом за ними 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/>
      <w:tr>
        <w:trPr>
          <w:trHeight w:hRule="atLeast"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lineRule="atLeast" w:line="360" w:after="0" w:beforeAutospacing="0" w:afterAutospac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____________________________________________________________________________________</w:t>
              <w:br w:type="textWrapping"/>
              <w:t>Зелені насадження, що залишаються на місці на час будівництва, передаються на збереження</w:t>
              <w:br w:type="textWrapping"/>
              <w:t>______________________________________________________________________________________</w:t>
              <w:br w:type="textWrapping"/>
              <w:t>                                                                                   </w:t>
            </w:r>
          </w:p>
        </w:tc>
      </w:tr>
    </w:tbl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Голова комісії:                                                        Тернова М.В.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Заступник голови комісії:                                      Шутенко С.О.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Секретар комісії:                                                     Дорошенко А.М.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Члени комісії:                                                           Ільченко Ю.В.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Головня О.М.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Крауз Ю.О. 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Гурковський О.А.</w:t>
      </w: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Кищук А.В.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</w:t>
      </w: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</w:p>
    <w:p>
      <w:pPr>
        <w:tabs>
          <w:tab w:val="center" w:pos="4606" w:leader="none"/>
        </w:tabs>
        <w:spacing w:after="0" w:beforeAutospacing="0" w:afterAutospacing="0"/>
        <w:ind w:left="-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</w:p>
    <w:sectPr>
      <w:type w:val="nextPage"/>
      <w:pgSz w:w="11906" w:h="16838" w:code="9"/>
      <w:pgMar w:left="1417" w:right="850" w:top="284" w:bottom="28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30282040"/>
    <w:multiLevelType w:val="hybridMultilevel"/>
    <w:lvl w:ilvl="0" w:tplc="C87CDEC8">
      <w:start w:val="50"/>
      <w:numFmt w:val="bullet"/>
      <w:suff w:val="tab"/>
      <w:lvlText w:val="-"/>
      <w:lvlJc w:val="left"/>
      <w:pPr>
        <w:ind w:hanging="360" w:left="720"/>
      </w:pPr>
      <w:rPr>
        <w:rFonts w:ascii="Times New Roman" w:hAnsi="Times New Roman"/>
      </w:rPr>
    </w:lvl>
    <w:lvl w:ilvl="1" w:tplc="0422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22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22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22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22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22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22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22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6"/>
    <w:qFormat/>
    <w:pPr>
      <w:keepNext w:val="1"/>
      <w:keepLines w:val="1"/>
      <w:spacing w:before="240" w:after="0" w:beforeAutospacing="0" w:afterAutospacing="0"/>
      <w:outlineLvl w:val="0"/>
    </w:pPr>
    <w:rPr>
      <w:color w:val="365F91"/>
      <w:sz w:val="32"/>
    </w:rPr>
  </w:style>
  <w:style w:type="paragraph" w:styleId="P2">
    <w:name w:val="heading 3"/>
    <w:basedOn w:val="P0"/>
    <w:link w:val="C3"/>
    <w:qFormat/>
    <w:pPr>
      <w:spacing w:lineRule="auto" w:line="240" w:before="100" w:after="100" w:beforeAutospacing="1" w:afterAutospacing="1"/>
      <w:outlineLvl w:val="2"/>
    </w:pPr>
    <w:rPr>
      <w:rFonts w:ascii="Times New Roman" w:hAnsi="Times New Roman"/>
      <w:b w:val="1"/>
      <w:sz w:val="27"/>
    </w:rPr>
  </w:style>
  <w:style w:type="paragraph" w:styleId="P3">
    <w:name w:val="tl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tc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5">
    <w:name w:val="tj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6">
    <w:name w:val="tr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7">
    <w:name w:val="List Paragraph"/>
    <w:basedOn w:val="P0"/>
    <w:qFormat/>
    <w:pPr>
      <w:ind w:left="720"/>
      <w:contextualSpacing w:val="1"/>
    </w:pPr>
    <w:rPr/>
  </w:style>
  <w:style w:type="paragraph" w:styleId="P8">
    <w:name w:val="Balloon Text"/>
    <w:basedOn w:val="P0"/>
    <w:link w:val="C5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9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Заголовок 3 Знак"/>
    <w:basedOn w:val="C0"/>
    <w:link w:val="P2"/>
    <w:rPr>
      <w:rFonts w:ascii="Times New Roman" w:hAnsi="Times New Roman"/>
      <w:b w:val="1"/>
      <w:sz w:val="27"/>
    </w:rPr>
  </w:style>
  <w:style w:type="character" w:styleId="C4">
    <w:name w:val="fs2"/>
    <w:basedOn w:val="C0"/>
    <w:rPr/>
  </w:style>
  <w:style w:type="character" w:styleId="C5">
    <w:name w:val="Текст выноски Знак"/>
    <w:basedOn w:val="C0"/>
    <w:link w:val="P8"/>
    <w:semiHidden/>
    <w:rPr>
      <w:rFonts w:ascii="Tahoma" w:hAnsi="Tahoma"/>
      <w:sz w:val="16"/>
    </w:rPr>
  </w:style>
  <w:style w:type="character" w:styleId="C6">
    <w:name w:val="Заголовок 1 Знак"/>
    <w:basedOn w:val="C0"/>
    <w:link w:val="P1"/>
    <w:rPr>
      <w:color w:val="365F91"/>
      <w:sz w:val="32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