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2.3622047244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2.362204724409"/>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w:t>
      </w:r>
      <w:r w:rsidDel="00000000" w:rsidR="00000000" w:rsidRPr="00000000">
        <w:rPr>
          <w:rFonts w:ascii="Times New Roman" w:cs="Times New Roman" w:eastAsia="Times New Roman" w:hAnsi="Times New Roman"/>
          <w:b w:val="1"/>
          <w:sz w:val="24"/>
          <w:szCs w:val="24"/>
          <w:rtl w:val="0"/>
        </w:rPr>
        <w:t xml:space="preserve">міської ради</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102.362204724409"/>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від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28.02.2023 </w:t>
      </w:r>
      <w:r w:rsidDel="00000000" w:rsidR="00000000" w:rsidRPr="00000000">
        <w:rPr>
          <w:rFonts w:ascii="Times New Roman" w:cs="Times New Roman" w:eastAsia="Times New Roman" w:hAnsi="Times New Roman"/>
          <w:b w:val="1"/>
          <w:sz w:val="24"/>
          <w:szCs w:val="24"/>
          <w:rtl w:val="0"/>
        </w:rPr>
        <w:t xml:space="preserve">№01-30-VIII</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Звіт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виконання Програми соціально-економічного та культурного розвитку Сквирської міської територіальної громади за 2022 рік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Реальний сектор економіки.</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Промисловість.</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станом на 01.01.2023 року працю</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14 середніх і малих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приватних промислових підприємств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які забезпечували економіку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Після російського вторгнення в Україну,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березня 2022 року, в громаді лише одне підприємство скоротило виробництво та одне тимчасово зупиняло роботу. В цілому в роботі промислових підприємств суттєвих змін не відбулося, лише впровадили додаткові заходи захисту співробітників.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налічується 5 промислових підприємств, які обмежили обсяги виробництва внаслідок енергетичної кризи, що виникла через російську агресію. Так,</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«Сквиратекс» скоротило обсяги виробництва відносно 2021 року на 80%,  ТОВ «Євросід» - на 50 %, ТОВ «Сквирський завод продтоварів» - на 30%, ТОВ «Сквирський комбінат хлібопродуктів» - на 23%, ТОВ «Київхліб» Сквирський </w:t>
      </w:r>
      <w:r w:rsidDel="00000000" w:rsidR="00000000" w:rsidRPr="00000000">
        <w:rPr>
          <w:rFonts w:ascii="Times New Roman" w:cs="Times New Roman" w:eastAsia="Times New Roman" w:hAnsi="Times New Roman"/>
          <w:sz w:val="28"/>
          <w:szCs w:val="28"/>
          <w:rtl w:val="0"/>
        </w:rPr>
        <w:t xml:space="preserve">хлібзавод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10%.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Керівництвом ТОВ «Київхліб», через збитковість структурного підрозділу у Сквирі, прийнято рішення про зупинення виробництва на Сквирському </w:t>
      </w:r>
      <w:r w:rsidDel="00000000" w:rsidR="00000000" w:rsidRPr="00000000">
        <w:rPr>
          <w:rFonts w:ascii="Times New Roman" w:cs="Times New Roman" w:eastAsia="Times New Roman" w:hAnsi="Times New Roman"/>
          <w:color w:val="050505"/>
          <w:sz w:val="28"/>
          <w:szCs w:val="28"/>
          <w:highlight w:val="white"/>
          <w:rtl w:val="0"/>
        </w:rPr>
        <w:t xml:space="preserve">хлібзаводі</w:t>
      </w: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 та встановлення нової сучасної лінії з виробництва формового хліба на Білоцерківському хлібокомбінаті зі збереженням рецептури, асортименту та належним забезпеченням жителів громади якісними хлібобулочними виробами.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Основні бюджетоутворюючі підприємства станом на 01.01.2023 року не мали боргів по сплаті податків до місцевого бюджету Сквирської міської територіальної громади.</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Підприємства ТОВ «Сквирський комбінат хлібопродуктів» та Сквирська філія ТОВ «Грона» співпрацюють з підприємствами мережевої торгівлі на території України.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підприємствах постійно триває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 у 2021 році відновлено роботу ТОВ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«Сквирський завод продтоварів».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ісля реконструкції існуючих виробничих потужностей введено в дію цех з 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ерероблення молока, виробництва масла та сиру, а у 2022 році, для забезпечення конкурентоспроможності та прибутковості, підприємство розширило асортимент товарів щоб</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відповідати поточному попиту на якісному і кількісному рівнях.</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За період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широкомасштабної збройної агресії російської федерації проти України жодне підприємство не перемістилося із території громади в інші регіони України.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Агропромисловий комплекс.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Робота агропромислового комплексу в умовах воєнного стану є надважливою складовою у відновленні економіки України.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Земельний фонд Сквирської територіальної громади становить близько 87,3 тис. га. Сільськогосподарські угіддя займають понад 72,9 тис. га, в тому числі ріллі більше 66,4 тис. га.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9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Пріоритетним напрямком сільськогосподарського виробництва Сквирської міської територіальної громади є вирощування зернових, зернобобових та технічних культур, зокрема пшениці, ячменю, кукурудзи, сої, ріпаку, соняшнику, та виробництво свинини, молока в галузі тваринництва. Приділяється серйозна увага на допоміжні галузі – овочівництво, садівництво.</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Найбільшими сільськогосподарськими товаровиробниками і платниками податків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ТОВ «Агрофірма Колос», ПП АС Малолисовецька, ПП «Агрофірма Розволожжя», СГПП ім. Гагаріна, ПП «Новагрос». Надходження до бюджету громади від сільськогосподарських товаровиробників складають біля 30%.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Кожне підприємство самостійно приймає рішення про спрямування  коштів на впровадження нових технологій в галузі тваринництва та рослинництва, що сприяє</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ефективності виробництва. Переважають інвестиції власних коштів підприємств в сільгоспмашини та обладнання, реконструкції складів для зберігання зерна, що пов’язано з розширенням посівних площ, з необхідністю оновлення техніки та збільшенням обсягів продукції, яка зберігається.</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9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ознайомлення керівників сільськогосподарських підприємств громади з Програмою підтримки України від уряду США «Lend-lease» Сквирською міською радою організовано зустріч аграріїв з уповноваженими представниками компаній «BROCK» США і ТОВ «АГСОЛКО Україна» та доведено до відома аграріїв інформацію щодо можливості будівництва зернових елеваторів в рамках Програми.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у Програмі підтримки аграріїв України 15 сільськогосподарських підприємств громади подали заявки і опитувальні листи до керівників компаній для відображення потреби підприємств в тому чи іншому обладнанні Brock.</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Суб’єктів господарювання та населення ознайомлювали з інформаціями та механізмами участі у конкурсах на отримання грантів для створення власного бізнесу, розвитку садівництва, ягідництва, виноградарства чи тепличного господарства.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продовольчої безпеки навесні 2022 року в громаді впроваджувалась громадська ініціатива «Сади Перемоги», завдяки якій були висаджені 4000 саджанців плодових дерев, надані ТОВ «Агрофірма Колос».</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зв’язку з веденням бойових дій в Україні і безпосередньо обстрілів портів, нафтопереробних заводів та інших об’єктів критичної інфраструктури під час посівної кампанії 2022 року аграрні підприємства мали проблеми з браком обігових коштів, дефіцитом пального, добрив та ціни на них. Незважаючи на це посів сільськогосподарських культур підприємствами громади проведено вчасно та в повному обсязі.</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Сільськогосподарськими підприємствами Сквирської міської територіальної громади вчасно проведено роботи по збиранню зернових, зернобобових та технічних культур. Всього за 2022 рік обмолочено 18,7 тис. га зернових та зернобобових культур, намолочено 64,5 тис. тонн при урожайності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34,5 ц/га, в тому числі озимої та ярої пшениці з площі 8218 га намолочено 27,4 тис. тонн, при урожайності 33,0 ц/га, гречки намолочено 328 тонн, урожайність 7,84 ц/га, кукурудзи на зерно зібрано з площі  8,1 тис. га, валовий збір склав  30,8 тис. тонн при урожайності  38,0 ц/га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Цукрові буряки викопано </w:t>
      </w:r>
      <w:r w:rsidDel="00000000" w:rsidR="00000000" w:rsidRPr="00000000">
        <w:rPr>
          <w:rFonts w:ascii="Times New Roman" w:cs="Times New Roman" w:eastAsia="Times New Roman" w:hAnsi="Times New Roman"/>
          <w:sz w:val="28"/>
          <w:szCs w:val="28"/>
          <w:rtl w:val="0"/>
        </w:rPr>
        <w:t xml:space="preserve">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площі 1710 га, накопано 62,1 тис. тон при урожайності  363,2 ц/га; сої </w:t>
      </w:r>
      <w:r w:rsidDel="00000000" w:rsidR="00000000" w:rsidRPr="00000000">
        <w:rPr>
          <w:rFonts w:ascii="Times New Roman" w:cs="Times New Roman" w:eastAsia="Times New Roman" w:hAnsi="Times New Roman"/>
          <w:sz w:val="28"/>
          <w:szCs w:val="28"/>
          <w:rtl w:val="0"/>
        </w:rPr>
        <w:t xml:space="preserve">зібрано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площі 2979 га, намолочено 4,52 тис. тон</w:t>
      </w:r>
      <w:r w:rsidDel="00000000" w:rsidR="00000000" w:rsidRPr="00000000">
        <w:rPr>
          <w:rFonts w:ascii="Times New Roman" w:cs="Times New Roman" w:eastAsia="Times New Roman" w:hAnsi="Times New Roman"/>
          <w:sz w:val="28"/>
          <w:szCs w:val="28"/>
          <w:rtl w:val="0"/>
        </w:rPr>
        <w:t xml:space="preserve"> при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урожайн</w:t>
      </w:r>
      <w:r w:rsidDel="00000000" w:rsidR="00000000" w:rsidRPr="00000000">
        <w:rPr>
          <w:rFonts w:ascii="Times New Roman" w:cs="Times New Roman" w:eastAsia="Times New Roman" w:hAnsi="Times New Roman"/>
          <w:sz w:val="28"/>
          <w:szCs w:val="28"/>
          <w:rtl w:val="0"/>
        </w:rPr>
        <w:t xml:space="preserve">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15,2 ц/га</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соняшника на площі 9492 га зібрано 17,6 тис. тон при урожайн</w:t>
      </w:r>
      <w:r w:rsidDel="00000000" w:rsidR="00000000" w:rsidRPr="00000000">
        <w:rPr>
          <w:rFonts w:ascii="Times New Roman" w:cs="Times New Roman" w:eastAsia="Times New Roman" w:hAnsi="Times New Roman"/>
          <w:sz w:val="28"/>
          <w:szCs w:val="28"/>
          <w:rtl w:val="0"/>
        </w:rPr>
        <w:t xml:space="preserve">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18,5 ц/га.</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Випробування несприятливими погодними умовами </w:t>
      </w:r>
      <w:r w:rsidDel="00000000" w:rsidR="00000000" w:rsidRPr="00000000">
        <w:rPr>
          <w:rFonts w:ascii="Times New Roman" w:cs="Times New Roman" w:eastAsia="Times New Roman" w:hAnsi="Times New Roman"/>
          <w:sz w:val="28"/>
          <w:szCs w:val="28"/>
          <w:highlight w:val="whit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відсутність опадів та посуха у 2022 році)  спричинило значну втрату продуктивності озимих культур і відповідне зниження врожайності осінніх культур. Найбільше постраждали кукурудза, соя,  соняшник. Через відсутність опадів значна площа посівів кукурудзи не досягла фази формування початку качана, тому не підлягала збору на зерно або була переведена в кормову.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вересні – жовтні підприємствами проведено посів під урожай 2023 року озимих зернових та ріпаку згідно запланованих обсягів. Всього посів проведено на площі 11133 га, в тому числі озимої пшениці посіяно 5722 га, ячменю  1294 га,  жита 52 га, ріпаку  4065 га. Здійснена зяблева підготовка грунту під посів ярих культур, виорано  10,4 тис. га. До зведення та узагальнення взято оперативну інформацію 24 агропідприємств, що обробляють від 500 га і більше посівних площ.</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Енергоефективність.</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Найважливіші завданнями Сквирської міської територіальної громади в сфері енергоефективності є утеплення фасадів, заміна віконних та дверних блоків на енергозберігаючі, заміна котельного обладнання на альтернативні види палива в закладах освіти, культури та охорони здоров’я, реконструкція мереж  зовнішнього освітлення населених пунктів. </w:t>
      </w:r>
      <w:r w:rsidDel="00000000" w:rsidR="00000000" w:rsidRPr="00000000">
        <w:rPr>
          <w:rFonts w:ascii="Times New Roman" w:cs="Times New Roman" w:eastAsia="Times New Roman" w:hAnsi="Times New Roman"/>
          <w:sz w:val="28"/>
          <w:szCs w:val="28"/>
          <w:rtl w:val="0"/>
        </w:rPr>
        <w:t xml:space="preserve">В зв’язку з військовим станом в Україні роботи з утеплення фасадів, заміни віконних та дверних блоків на енергозберігаючі не проводилися через неможливість їх профінансувати.</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gr852kpl5f8k" w:id="1"/>
      <w:bookmarkEnd w:id="1"/>
      <w:r w:rsidDel="00000000" w:rsidR="00000000" w:rsidRPr="00000000">
        <w:rPr>
          <w:rFonts w:ascii="Times New Roman" w:cs="Times New Roman" w:eastAsia="Times New Roman" w:hAnsi="Times New Roman"/>
          <w:sz w:val="28"/>
          <w:szCs w:val="28"/>
          <w:rtl w:val="0"/>
        </w:rPr>
        <w:t xml:space="preserve">З метою встановлення цільових обсягів споживання енергоносіїв, відповідно до пункту 3 статті 51 Бюджетного Кодексу України, Закону України «Про енергозбереження» та врахувавши пропозиції головних розпорядників та одержувачів бюджетних коштів, рішенням виконавчого комітету Сквирської міської ради від 07 грудня 2021 року №28/28 було затверджено ліміти споживання енергоносіїв у натуральних показниках головним розпорядникам та одержувачам бюджетних коштів, що фінансуються за рахунок бюджету Сквирської міської територіальної громади  на 2022 рік.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mo5kdiulg3ba" w:id="2"/>
      <w:bookmarkEnd w:id="2"/>
      <w:r w:rsidDel="00000000" w:rsidR="00000000" w:rsidRPr="00000000">
        <w:rPr>
          <w:rFonts w:ascii="Times New Roman" w:cs="Times New Roman" w:eastAsia="Times New Roman" w:hAnsi="Times New Roman"/>
          <w:sz w:val="28"/>
          <w:szCs w:val="28"/>
          <w:rtl w:val="0"/>
        </w:rPr>
        <w:t xml:space="preserve">Керівникам бюджетних установ було доручено проводити розрахунки за спожиті енергоносії у межах затверджених лімітів споживання та укладання договорів про відшкодування витрат на оплату комунальних послуг та енергоносіїв. Також керівників бюджетних установ зобов’язали забезпечити засобами обліку для всіх видів енергоносіїв та проведення систематичного контролю і аналізу стану енергоспоживання.</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vertAlign w:val="baseline"/>
        </w:rPr>
      </w:pPr>
      <w:bookmarkStart w:colFirst="0" w:colLast="0" w:name="_heading=h.lnfifia8bgw1" w:id="3"/>
      <w:bookmarkEnd w:id="3"/>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На постійному контролі перебуває питання ефективного використання ресурсів та дотримання доведених лімітів споживання </w:t>
      </w:r>
      <w:r w:rsidDel="00000000" w:rsidR="00000000" w:rsidRPr="00000000">
        <w:rPr>
          <w:rFonts w:ascii="Times New Roman" w:cs="Times New Roman" w:eastAsia="Times New Roman" w:hAnsi="Times New Roman"/>
          <w:sz w:val="28"/>
          <w:szCs w:val="28"/>
          <w:rtl w:val="0"/>
        </w:rPr>
        <w:t xml:space="preserve">енергоносіїв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бюджетними установами та комунальними </w:t>
      </w:r>
      <w:r w:rsidDel="00000000" w:rsidR="00000000" w:rsidRPr="00000000">
        <w:rPr>
          <w:rFonts w:ascii="Times New Roman" w:cs="Times New Roman" w:eastAsia="Times New Roman" w:hAnsi="Times New Roman"/>
          <w:sz w:val="28"/>
          <w:szCs w:val="28"/>
          <w:rtl w:val="0"/>
        </w:rPr>
        <w:t xml:space="preserve">закладами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громади. Так, завдяки проведеному аудиту у</w:t>
      </w:r>
      <w:r w:rsidDel="00000000" w:rsidR="00000000" w:rsidRPr="00000000">
        <w:rPr>
          <w:rFonts w:ascii="Times New Roman" w:cs="Times New Roman" w:eastAsia="Times New Roman" w:hAnsi="Times New Roman"/>
          <w:sz w:val="28"/>
          <w:szCs w:val="28"/>
          <w:rtl w:val="0"/>
        </w:rPr>
        <w:t xml:space="preserve"> 2022 році закладами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освіти вдалось </w:t>
      </w:r>
      <w:r w:rsidDel="00000000" w:rsidR="00000000" w:rsidRPr="00000000">
        <w:rPr>
          <w:rFonts w:ascii="Times New Roman" w:cs="Times New Roman" w:eastAsia="Times New Roman" w:hAnsi="Times New Roman"/>
          <w:sz w:val="28"/>
          <w:szCs w:val="28"/>
          <w:rtl w:val="0"/>
        </w:rPr>
        <w:t xml:space="preserve">скоротити, порівняно із 2021 роком, витрачання електроенергії, теплової енергії, води в натуральних показниках, що дало економію бюджетних коштів. У</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КНП СМР Сквирська ЦМЛ за 2022 рік  дося</w:t>
      </w:r>
      <w:r w:rsidDel="00000000" w:rsidR="00000000" w:rsidRPr="00000000">
        <w:rPr>
          <w:rFonts w:ascii="Times New Roman" w:cs="Times New Roman" w:eastAsia="Times New Roman" w:hAnsi="Times New Roman"/>
          <w:sz w:val="28"/>
          <w:szCs w:val="28"/>
          <w:rtl w:val="0"/>
        </w:rPr>
        <w:t xml:space="preserve">гнуто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економі</w:t>
      </w:r>
      <w:r w:rsidDel="00000000" w:rsidR="00000000" w:rsidRPr="00000000">
        <w:rPr>
          <w:rFonts w:ascii="Times New Roman" w:cs="Times New Roman" w:eastAsia="Times New Roman" w:hAnsi="Times New Roman"/>
          <w:sz w:val="28"/>
          <w:szCs w:val="28"/>
          <w:rtl w:val="0"/>
        </w:rPr>
        <w:t xml:space="preserve">ї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споживання теплової енергії, електроенергії, обсягу послуг з централізованого водовідведення</w:t>
      </w:r>
      <w:r w:rsidDel="00000000" w:rsidR="00000000" w:rsidRPr="00000000">
        <w:rPr>
          <w:rFonts w:ascii="Times New Roman" w:cs="Times New Roman" w:eastAsia="Times New Roman" w:hAnsi="Times New Roman"/>
          <w:sz w:val="28"/>
          <w:szCs w:val="28"/>
          <w:rtl w:val="0"/>
        </w:rPr>
        <w:t xml:space="preserve">. У 2022 році зменшено споживання електричної енергії та природного газу закладами культури. Загалом економія  теплової енергії склала у 2022 році порівняно із 2021 роком 1478,4 Гкал.,  економія електричної енергії  - 23489,0 кВт.,  природного газу спожито менше на 4054,3 куб.м., обсяг послуг з централізованого водовідведення зменшено на 10572 куб. м.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реконструкції та відновлення мереж вуличного освітлення в населених пунктах громади протягом 2022 року за кошти міського бюджету проведено поточні ремонти мереж зовнішнього освітлення (заміна ламп, таймерів, автоматичних вимикачів, драйверів, кабелю тощо) на загальну суму 94,3 тис. гривень. Роботи проводились в м.Сквира та селах територіальної громади. Разом з тим, на забезпечення вуличного освітлення громади (електроенергія) використано 811,2 тис. гривень.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Транспорт та дорожнє господарство.</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Дороги в межах Сквирської міської територіальної громади обслуговують такі дорожні служби: підрозділ Сквира №6 ДП «Київський облавтодор», ТОВ «Дорбудмеханізація», КП «Сквираблагоустрій».</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стану експлуатаційного утримання вулично-шляхових мереж знаходиться на постійному контролі Сквирської міської ради.</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22.12.2020 №16-3-VІІІ затверджена Програма утримання та розвитку дорожнього господарства Сквирської міської територіальної громади на 2021-2025 роки, на фінансування якої в бюджеті Сквирської міської територіальної громади на 2022 рік передбачені кошти в сумі 3050,0 тис. гривень. Протягом  2022 року Програму  профінансовано на 3017,5 тис. грн, в тому числі на проведення поточного ремонту дорожнього покриття</w:t>
      </w:r>
      <w:r w:rsidDel="00000000" w:rsidR="00000000" w:rsidRPr="00000000">
        <w:rPr>
          <w:rFonts w:ascii="Times New Roman" w:cs="Times New Roman" w:eastAsia="Times New Roman" w:hAnsi="Times New Roman"/>
          <w:sz w:val="28"/>
          <w:szCs w:val="28"/>
          <w:rtl w:val="0"/>
        </w:rPr>
        <w:t xml:space="preserve"> виділено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1714,4 тис. гривень.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рішення виконавчого комітету Сквирської міської ради за звітний період проведено</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поточний ремонт дорожнього покриття білощебеневою сумішшю таких вулиць:</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Короленка в м. Сквира протяжністю 300 м (вартість робіт 191 371,20 грн);</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Вишнева в м. Сквира  — 290 м (вартість робіт 166 388,18 грн);</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Лесі Українки в м. Сквира — 300 м (вартість робіт 167 990,40 грн);</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Некрасова в м. Сквира  — 300 м (вартість робіт 170 813,59 грн);</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Партизанська в с. Дулицьке — 680 м  (вартість робіт 167 900,00 грн);</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поточний ремонт дорожнього покриття асфальтуванням таких вулиць: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Максима Рильського в м. Сквира —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50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(вартість робіт до 218 131,15 грн);</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Липовецька в м. Сквира  —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50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(вартість робіт до 381 782,41 грн);</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Червона площа – 226,7 кв.м (вартість 249 991,21 гривень).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капітальних ремонтів доріг виготовлено проєктно-кошторисну документацію та отримано експертні звіти на капітальний ремонт дорожнього покриття по вулицях Лівобережна, Шевченка, Польова, Новоселецька, Кобзаря, Папаніна в м.Сквира, вул.Революційна в с.Кривошиїнці, вул.Партизанська та вул.Шкільна в с.Дулицьке.</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за кошти міського бюджету проведено капітальний ремонт дорожнього покриття по вул.Лівобережна від будинку №60 до перехрестя з вул.Польова в м.Сквира (879,1 тис. гривень).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et92p0" w:id="6"/>
      <w:bookmarkEnd w:id="6"/>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Розвиток підприємництва.</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70c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Мікро-, малі та середні підприємства становлять більшу частину у структурі економіки 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воєнного стану роботодавці мали змогу отримати компенсацію витрат на оплату за працевлаштування внутрішньо переміщених осіб внаслідок бойових дій під час воєнного стану. Станом на 01.01 2023 року до Сквирської районної філії КОЦЗ було надано 26 пакетів документів від роботодавців району. По 39 особам винесено позитивне рішення та виплачено 507000 гривень</w:t>
      </w:r>
      <w:r w:rsidDel="00000000" w:rsidR="00000000" w:rsidRPr="00000000">
        <w:rPr>
          <w:rFonts w:ascii="Times New Roman" w:cs="Times New Roman" w:eastAsia="Times New Roman" w:hAnsi="Times New Roman"/>
          <w:b w:val="0"/>
          <w:i w:val="0"/>
          <w:smallCaps w:val="0"/>
          <w:strike w:val="0"/>
          <w:color w:val="0070c0"/>
          <w:sz w:val="28"/>
          <w:szCs w:val="28"/>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станом на 01.01.2023 року, в громаді зареєстровано 1888 суб’єктів підприємницької діяльності, з них - 729 юридичних осіб,</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1159 - фізичних осіб- підприємців. В громаді налічується 727 прибуткових підприємств.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Сума надходжень до бюджетів усіх рівнів від суб’єктів малого та середнього  підприємства за 2022 рік становить 469,9 млн. гривень.</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передумов економічного розвитку є якісна інфраструктура підтримки підприємництва. Станом на 01.01.2023 року у громаді функціонує 11 об’єктів інфраструктури підтримки підприємництва (суб’єкти господарської діяльності, які надають бухгалтерські, юридичні та фінансові послуги), а також інформаційно-консультативні послуги суб’єктам підприємницької діяльності надають адміністратори та державні реєстратори Центру надання адміністративних послуг, Сквирської районної філії Київського обласного центру зайнятості.</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Інвестиційна діяльність.</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вживаються заходи щодо поліпшення інвестиційної привабливості громади та збільшення обсягів надходжень вітчизняних та іноземних інвестицій. Проте, у зв’язку із погіршенням фінансового стану підприємств через уповільнення ділової активності, а також обмежені обсяги кредитування банківськими структурами реального сектору економіки спостерігається тенденція до значного падіння обсягів капітальних інвестицій, освоєних підприємствами та організаціями в усіх областях України.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позитивного іміджу, підвищення інвестиційної привабливості Сквирської міської радою формується база вільних земельних ділянок та об’єктів незавершеного будівництва, які пропонуються інвесторам.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капітального будівництва, комунального власності та ЖКГ затверджено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Затвердженими переліками, станом на 01.01.2023 року охоплено 95 об’єктів нерухомого майна. В електронній торговій системі, через особистий кабінет організатора оренди, внесена інформація по об’єктах, щодо яких </w:t>
      </w:r>
      <w:r w:rsidDel="00000000" w:rsidR="00000000" w:rsidRPr="00000000">
        <w:rPr>
          <w:rFonts w:ascii="Times New Roman" w:cs="Times New Roman" w:eastAsia="Times New Roman" w:hAnsi="Times New Roman"/>
          <w:sz w:val="28"/>
          <w:szCs w:val="28"/>
          <w:rtl w:val="0"/>
        </w:rPr>
        <w:t xml:space="preserve">прийняті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відповідні рішення. Опрацьовано 69 електронних заяв від потенційних орендарів.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новою процедурою передачі майна в оренду без проведення електронних аукціонів станом на 01.01.2023 забезпечено укладання 23 договорів оренди з підприємствами, установами, організаціями, які фінансуються за рахунок місцевого бюджету. Відповідно, інформаційно розміщено повідомлення про передачу об’єктів нерухомого майна без проведення аукціону на сайті міської ради. Триває робота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опрацювання відомостей щодо об’єктів, включених до переліку другого типу (без проведення аукціону) та підготовка договорів для їх укладання.</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формовано реєстр </w:t>
      </w:r>
      <w:r w:rsidDel="00000000" w:rsidR="00000000" w:rsidRPr="00000000">
        <w:rPr>
          <w:rFonts w:ascii="Times New Roman" w:cs="Times New Roman" w:eastAsia="Times New Roman" w:hAnsi="Times New Roman"/>
          <w:sz w:val="28"/>
          <w:szCs w:val="28"/>
          <w:rtl w:val="0"/>
        </w:rPr>
        <w:t xml:space="preserve">діючих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договорів оренди, щомісячно опрацьовується аналіз сплати за такими договорами та відповідно стан надходжень орендної плати до міського бюджету.Підготовлено 50 проєктів договорів господарського відання та оперативного управління майном.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Забезпечено та опрацьована вся необхідна інформація для початку проведення електронних аукціонів. Підготовлено 59 оголошень про передачу майна комунальної власності через аукціон, які розміщено в електронній торговій системі, з них 56 аукціонів відбулися успішно та по яких процедура завершена.</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Затверджено перелік об’єктів комунальної власності Сквирської міської територіальної громади, що підлягають приватизації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у 2022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році шляхом продажу на аукціонах, до переліку включено 23 об’єкти нерухомого майна та опубліковано на офіційному сайті.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Один </w:t>
      </w:r>
      <w:r w:rsidDel="00000000" w:rsidR="00000000" w:rsidRPr="00000000">
        <w:rPr>
          <w:rFonts w:ascii="Times New Roman" w:cs="Times New Roman" w:eastAsia="Times New Roman" w:hAnsi="Times New Roman"/>
          <w:sz w:val="28"/>
          <w:szCs w:val="28"/>
          <w:rtl w:val="0"/>
        </w:rPr>
        <w:t xml:space="preserve">об'єкт</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малої приватиза</w:t>
      </w:r>
      <w:r w:rsidDel="00000000" w:rsidR="00000000" w:rsidRPr="00000000">
        <w:rPr>
          <w:rFonts w:ascii="Times New Roman" w:cs="Times New Roman" w:eastAsia="Times New Roman" w:hAnsi="Times New Roman"/>
          <w:sz w:val="28"/>
          <w:szCs w:val="28"/>
          <w:rtl w:val="0"/>
        </w:rPr>
        <w:t xml:space="preserve">ції - нежитлова будівля (аптека), що розташований в с.Великополовецьке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продано на аукціоні </w:t>
      </w:r>
      <w:r w:rsidDel="00000000" w:rsidR="00000000" w:rsidRPr="00000000">
        <w:rPr>
          <w:rFonts w:ascii="Times New Roman" w:cs="Times New Roman" w:eastAsia="Times New Roman" w:hAnsi="Times New Roman"/>
          <w:sz w:val="28"/>
          <w:szCs w:val="28"/>
          <w:rtl w:val="0"/>
        </w:rPr>
        <w:t xml:space="preserve">за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166485 гривень</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підготовлено та передано на переоцінку 29  інвентарних справ по об’єктах нерухомого майна комунальної власності, які потребували здійснення переоцінки майнової вартості та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визначення ринкової вартості нерухомого майна.</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59"/>
        </w:tabs>
        <w:spacing w:after="0" w:before="0" w:line="240" w:lineRule="auto"/>
        <w:ind w:left="0" w:right="21"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Зовнішньоекономічна діяльність.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громаді розвиваються експортоорієнтовані підприємства, які здійснюють зовнішньоторговельні операції з партнерами близько 80 країн світу: Німеччина, Ізраїль, США, Куба, Казахстан, Киргизстан, Туркменістан, Азербайджан, Грузія, Вірменія, Молдова, Єгипет, ПАР, Угорщина, Польща, Португалія, Китай, Канада, Корея, Іспанія, Корея, Індія, Великобританія, Греція, Туреччина, ОАЕ, Сінгапур та інші. Основу товарної структури експорту промислових підприємств громади від загального експорту складають товари харчової промисловості та текстильні вироби.</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Проєкти міжнародної технічної допомоги на території Сквирської міської територіальної громади у 2022 році не реалізовувалися.</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Фінансова самодостатність.</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Вторгнення росії, спричинивши масову міграцію та зупинку бізнесу, завдало значного удару по місцевих бюджетах.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Попри виклики, Сквирській міській раді вдалося втримати контрольованість протягом перших та наступних місяців війни, забезпечивши до загального фонду бюджету Сквирської міської територіальної громади за 2022 рік 303 026,9 тис.грн, що становить 107,7% до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планових призначень на відповідний період.  </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(без урахування трансфертів) фактично надійшло 210 868,8 тис. грн, що становить 112,3% виконання до планового показника доходів на відповідний період. Порівняно до надходжень 2021 року  надходження за  2022 рік збільшились на  17 050,4 тис. гривень. Темп росту фактичних надходжень за 2022 рік до надходжень 2021 року становить 108,8%.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67,1%, єдиний податок – 18,7%, плата за землю – 8,2%, інші види надходжень займають не значне місце і становлять 6,0%.</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з доходів фізичних осіб. Фактичні надходження по цьому податку за  2022 рік складають 141 405,9 тис. грн, що становить 116,6% до  плану на відповідний період. Порівняно з  надходженнями 2021 року   сума надходжень по податку з доходів фізичних осіб збільшилась  на 19 782,6 тис. гривень. Темп росту фактичних надходжень цього податку за 2022 рік до надходжень   2021 року становить 116,3%.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платі за землю за  2022 рік складають 17 274,9 тис. грн, що становить 91,2% до  плану на відповідний період. Порівняно з  надходженнями   2021 року   сума надходжень по платі за землю  зменшилась   на 1 590,5 тис. гривень.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єдиного податку за   2022 рік склали 39 436,3 тис. грн, що становить 112,4% до плану на відповідний період та на 1 521,2 тис. грн більше фактичних надходжень 2021 року.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надійшли трансферти в сумі 92 158,1 тис. гривень. З державного бюджету надійшла освітня субвенція в сумі 89 468,2 тис. гривень. Дотація з обласного бюджету на здійснення переданих з державного бюджету видатків з утримання закладів освіти та охорони здоров’я – 1 725,6 тис. гривень. Субвенції з місцевих бюджетів  складають 964,3 тис. грн, з них 100,0 тис. грн від Фурсівської громади на утримання </w:t>
      </w:r>
      <w:r w:rsidDel="00000000" w:rsidR="00000000" w:rsidRPr="00000000">
        <w:rPr>
          <w:rFonts w:ascii="Times New Roman" w:cs="Times New Roman" w:eastAsia="Times New Roman" w:hAnsi="Times New Roman"/>
          <w:sz w:val="28"/>
          <w:szCs w:val="28"/>
          <w:rtl w:val="0"/>
        </w:rPr>
        <w:t xml:space="preserve">престарілих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осіб.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- 12 468,0 тис. грн, які складаються з екологічного податку – 145,7 тис. грн, грошових стягнень за шкоду – 152,6 тис. грн, власних надходжень бюджетних установ – 5 664,0 тис. грн та коштів від продажу землі та відчуження майна  – 6 505,7 тис. грн (відчуження майна – 167,8 тис. грн; продаж земельної ділянки несільськогосподарського призначення 4 650,0 тис. грн; викуп земельної ділянки сільськогосподарського призначення – 1 875,5 тис. грн).</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Видаткова частина бюджету громади за загальним та спеціальним фондами  виконана на суму 282 305,8 тис.грн, що становить 91,6% до бюджетних призначень на рік.</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Структура видатків розподілена наступним чином:</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 179 138,3 тис.грн;</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 35 876,6 тис.грн;</w:t>
      </w:r>
    </w:p>
    <w:p w:rsidR="00000000" w:rsidDel="00000000" w:rsidP="00000000" w:rsidRDefault="00000000" w:rsidRPr="00000000" w14:paraId="000000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15 202,5 тис.грн;</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- 12 653,8 тис.грн;</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 11 751,4 тис.грн;</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2 893,1 тис.грн.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здійснених видатків за 2022 рік найбільшу питому вагу займає:</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заробітна плата з нарахуваннями 214 511,7 тис.грн (76%);</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енергоносіїв та комунальних послуг 32 768,8 тис.грн (11,6%);</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поточні видатки 18 188,5 тис.грн (6,4%) - незахищені статті видатків по оплаті товарів і послуг;</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капітальні видатки 10 472,6 тис.грн (3,7%);</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поточні трансферти населенню 4 275,6 тис.грн (1,5%);</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продуктів харчування 2 088,6 тис.грн (0,8%).</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Міжбюджетні трансферти з бюджету громади надані державному бюджету на суму 709,9 тис.грн, у тому числі для підтримки місцевого підрозділу відділення поліції №1 на придбання службового автомобіля поліцейському офіцеру громади 610,0 тис.грн, для придбання паливно-мастильних матеріалів 99,9 тис. гривень.</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 Соціальна сфера.</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Ринок праці.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за послугами до Сквирської районної </w:t>
      </w:r>
      <w:r w:rsidDel="00000000" w:rsidR="00000000" w:rsidRPr="00000000">
        <w:rPr>
          <w:rFonts w:ascii="Times New Roman" w:cs="Times New Roman" w:eastAsia="Times New Roman" w:hAnsi="Times New Roman"/>
          <w:sz w:val="28"/>
          <w:szCs w:val="28"/>
          <w:rtl w:val="0"/>
        </w:rPr>
        <w:t xml:space="preserve">філії Київського обласного центру зайнятості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для отримання статусу безробітного звернулася 486 осіб, загалом </w:t>
      </w:r>
      <w:r w:rsidDel="00000000" w:rsidR="00000000" w:rsidRPr="00000000">
        <w:rPr>
          <w:rFonts w:ascii="Times New Roman" w:cs="Times New Roman" w:eastAsia="Times New Roman" w:hAnsi="Times New Roman"/>
          <w:sz w:val="28"/>
          <w:szCs w:val="28"/>
          <w:rtl w:val="0"/>
        </w:rPr>
        <w:t xml:space="preserve">протягом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2022 року на обліку в районній службі зайнятості перебувало 788 безробітних особи, в тому числі на обліку перебувало 49 внутрішньо переміщених осіб, 18 військовослужбовців, які звільнилися з зони АТО, та 99 осіб, які мають додаткові гарантії у працевлаштуванні. Станом на 01.01.2023 року на обліку в Сквирській районній філії перебуває 165 безробітних особи, допомогу по безробіттю станом на звітну дату отримує 123 особи. </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Порядку надання роботодавцю компенсації витрат на оплату праці за працевлаштування внутрішньо переміщених осіб України внаслідок проведення бойових дій під час воєнного стану в Україні, затвердженого постановою Кабінету Міністрів України від 20 березня 2022 р. №331 Сквирською районною філією Київського ОЦЗ прийнято 26 пакетів документів щодо виплати роботодавцям компенсації за працевлаштування 39 внутрішньо переміщених осіб, з них 11 безробітних.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Київського обласного центру зайнятості надано 13 роботодавцям (ТОВ Фірма «Грона», ТОВ «Шамраївський цукор», ПП «Агрофірма «Розволожжя», ТОВ «Сквирський КХП», КП «Сквир-водоканал», ФОП Тертичний О.А., ФОП Бондарчук Т.М. ФОП Ільченко С.А., ФОП Асламович Г.В., ТОВ «Сквиратекс», ФОП Бондарчук М.М., ФОП Собуцька С.Г., ТОВ «Агрофірма «Колос») компенсацію витрат на оплату праці за працевлаштування 39 внутрішньо переміщених осіб  на суму 507000 гривень.</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329 вакансій в звітному періоді центр</w:t>
      </w:r>
      <w:r w:rsidDel="00000000" w:rsidR="00000000" w:rsidRPr="00000000">
        <w:rPr>
          <w:rFonts w:ascii="Times New Roman" w:cs="Times New Roman" w:eastAsia="Times New Roman" w:hAnsi="Times New Roman"/>
          <w:sz w:val="28"/>
          <w:szCs w:val="28"/>
          <w:rtl w:val="0"/>
        </w:rPr>
        <w:t xml:space="preserve">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зайнятості укомплектовано 266</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вакансій. Рівень укомплектування вакансій у 2022 році становить 80,9%. (у 2021 році із 712 вакансій за сприянням центру зайнятості укомплектовано 578 вакансій, </w:t>
      </w:r>
      <w:r w:rsidDel="00000000" w:rsidR="00000000" w:rsidRPr="00000000">
        <w:rPr>
          <w:rFonts w:ascii="Times New Roman" w:cs="Times New Roman" w:eastAsia="Times New Roman" w:hAnsi="Times New Roman"/>
          <w:sz w:val="28"/>
          <w:szCs w:val="28"/>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івень укомплектування вакансій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по працевлаштуванню громадян в певній мірі залежить від своєчасної та в повному обсязі поданої роботодавцями інформації про наявність вільних робочих місць на підприємствах </w:t>
      </w:r>
      <w:r w:rsidDel="00000000" w:rsidR="00000000" w:rsidRPr="00000000">
        <w:rPr>
          <w:rFonts w:ascii="Times New Roman" w:cs="Times New Roman" w:eastAsia="Times New Roman" w:hAnsi="Times New Roman"/>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сезонної зайнятості в сільськогосподарському виробництві. </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Безробітним громадянам, професії яких не користуються попитом на ринку праці, пропонувалось змінити професію, набути нову або суміжну, підвищити рівень кваліфікації. Протягом 2022 року професійне навчання проходило 15 безробітних осіб.</w:t>
      </w:r>
      <w:r w:rsidDel="00000000" w:rsidR="00000000" w:rsidRPr="00000000">
        <w:rPr>
          <w:rFonts w:ascii="Times New Roman" w:cs="Times New Roman" w:eastAsia="Times New Roman" w:hAnsi="Times New Roman"/>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рофесійне навчання безробітних здійснювалось за актуальними на ринку праці професіями та спеціальностями: продавець-консультант, слюсар-ремонтник, кухар, експедитор, бухгалтер, сторож та інші. Для навчання безробітних використовувались різні форми і методи, а саме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індивідуальними планами та програмами, курси цільового призначення, стажування  на конкретних посадах, або робочих місцях підприємств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Потреби роботодавців у тимчасовій робочій силі служба зайнятості задовольняє шляхом організації громадських робіт,  інших робіт тимчасового характеру за рахунок роботодавців та суспільно-корисних робіт. Упродовж 2022 року виявили бажання та прийняли участь у роботах тимчасового характеру 3 особи з числа безробітних громадян, у суспільно-корисних роботах взяли участь 14 осіб, з них 1 особа - з числа ВПО, (у  2021 році - 11 осіб були залучені до громадських та інших робіт тимчасового характеру). Безробітні працювали на роботах по прибиранню територій, виробничих приміщень, складів підприємств, виконували підсобні та допоміжні роботи.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Соціальний захист населення.</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року робота 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ула направлена на згуртування жителів громади у спільній боротьбі проти агресора та допомозі громадянам, які перемістилися до Сквирської міської територіальної громади із зон ведення активних бойових дій. На кінець 2022 року в громаді проживало 4088 внутрішньо переміщених осіб. Для отримання статусу та допомоги на проживання ВПО переважна більшість громадян скористалася сервісом ЦНАПу, решта-застосунком «Дія».</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вирішення соціально-побутових проблем ВПО на території громади було створено гуманітарний штаб, де першочергово вирішуються питання, забезпечення продуктами харчування, засобами гігієни, одягом та взуттям, тощо. Тимчасово внутрішньо переміщені особи двічі на місяць отримують продуктові набори, в штабі сформовано двомісячний запас продуктів харчування.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в гуманітарному штабі для ВПО, які проживають на території громади було видано більше 60 тон гуманітарної допомоги, отриманої від Київської обласної військової адміністрації, Білоцерківської районної військової адміністрації, обласного гуманітарного штабу,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міжнародних організацій UNICEF, «GoodWill», World Central Kitchen», медичного корпусу, який співпрацює з UMC Ukraine Medical Consortium IRM Polish Institute for Emergency Medicine,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 цьому не враховано  допомогу, яка надавалася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представниками Товариства Червоного Хреста України, місцевими волонтерами  та жителями громади.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2022 року отримували гуманітарну допомогу у вигляді продуктів харчування.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гуртожитку навчального закладу освіти ДНЗ «Сквирське ВПУ» для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тимчасового проживання ВПО надано місця для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внутрішньо переміщених осіб. Для них створені належні житлово-побутові умови та доступ до  мережі Інтернет.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умови проведення робіт по облаштуванню приміщень та забезпечення необхідними меблями в навчальному закладі можливо розгорнути біля 60 додаткових місць. Проводиться робота з пошуку можливостей для розміщення додаткових місць тимчасового транзитного перебування.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Сквирській міській раді </w:t>
      </w:r>
      <w:r w:rsidDel="00000000" w:rsidR="00000000" w:rsidRPr="00000000">
        <w:rPr>
          <w:rFonts w:ascii="Times New Roman" w:cs="Times New Roman" w:eastAsia="Times New Roman" w:hAnsi="Times New Roman"/>
          <w:sz w:val="28"/>
          <w:szCs w:val="28"/>
          <w:rtl w:val="0"/>
        </w:rPr>
        <w:t xml:space="preserve">створено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робочу групу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 Протягом року проведено 4 засідання.</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надскладних умовах воєнного стану для реалізації заходів, передбачених місцевими програмами, на соціальні виплати з місцевого бюджету у 2022 році було спрямовано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4310042,75 гривень.</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380"/>
        </w:tabs>
        <w:spacing w:after="0" w:before="0" w:line="240" w:lineRule="auto"/>
        <w:ind w:left="0" w:right="0" w:firstLine="28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tl w:val="0"/>
        </w:rPr>
      </w:r>
    </w:p>
    <w:tbl>
      <w:tblPr>
        <w:tblStyle w:val="Table1"/>
        <w:tblW w:w="9900.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10"/>
        <w:gridCol w:w="1545"/>
        <w:gridCol w:w="1545"/>
        <w:tblGridChange w:id="0">
          <w:tblGrid>
            <w:gridCol w:w="6810"/>
            <w:gridCol w:w="1545"/>
            <w:gridCol w:w="1545"/>
          </w:tblGrid>
        </w:tblGridChange>
      </w:tblGrid>
      <w:tr>
        <w:trPr>
          <w:cantSplit w:val="0"/>
          <w:tblHeader w:val="0"/>
        </w:trPr>
        <w:tc>
          <w:tcP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Програми:</w:t>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Кількість</w:t>
            </w:r>
            <w:r w:rsidDel="00000000" w:rsidR="00000000" w:rsidRPr="00000000">
              <w:rPr>
                <w:rtl w:val="0"/>
              </w:rPr>
            </w:r>
          </w:p>
        </w:tc>
        <w:tc>
          <w:tcP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Сума, грн</w:t>
            </w:r>
            <w:r w:rsidDel="00000000" w:rsidR="00000000" w:rsidRPr="00000000">
              <w:rPr>
                <w:rtl w:val="0"/>
              </w:rPr>
            </w:r>
          </w:p>
        </w:tc>
      </w:tr>
      <w:tr>
        <w:trPr>
          <w:cantSplit w:val="0"/>
          <w:tblHeader w:val="0"/>
        </w:trPr>
        <w:tc>
          <w:tcPr>
            <w:vAlign w:val="top"/>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громадянам, які опинилися в складних життєвих обставинах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 чол.</w:t>
            </w:r>
          </w:p>
        </w:tc>
        <w:tc>
          <w:tcPr>
            <w:vAlign w:val="top"/>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601000,00</w:t>
            </w:r>
          </w:p>
        </w:tc>
      </w:tr>
      <w:tr>
        <w:trPr>
          <w:cantSplit w:val="0"/>
          <w:tblHeader w:val="0"/>
        </w:trPr>
        <w:tc>
          <w:tcPr>
            <w:vAlign w:val="top"/>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військовослужбовцям, призваним на військову службу під час мобілізації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507 чол.</w:t>
            </w:r>
          </w:p>
        </w:tc>
        <w:tc>
          <w:tcPr>
            <w:vAlign w:val="top"/>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1521000,00</w:t>
            </w:r>
          </w:p>
        </w:tc>
      </w:tr>
      <w:tr>
        <w:trPr>
          <w:cantSplit w:val="0"/>
          <w:tblHeader w:val="0"/>
        </w:trPr>
        <w:tc>
          <w:tcPr>
            <w:vAlign w:val="top"/>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КП «Сквирське комунальне господарство» відшкодовано витрати за надані ритуальні послуги під час поховання військовослужбовців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чол.</w:t>
            </w:r>
          </w:p>
        </w:tc>
        <w:tc>
          <w:tcPr>
            <w:vAlign w:val="top"/>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67502,00</w:t>
            </w:r>
          </w:p>
        </w:tc>
      </w:tr>
      <w:tr>
        <w:trPr>
          <w:cantSplit w:val="0"/>
          <w:tblHeader w:val="0"/>
        </w:trPr>
        <w:tc>
          <w:tcPr>
            <w:vAlign w:val="top"/>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Надано матеріальну допомогу на лікування військовослужбовцям, які отримали поранення в зоні ведення бойових дій </w:t>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Матеріальна допомога на поховання військовослужбовців, які загинули під час захисту Батьківщини </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Допомога матері загинувшого, для придбання дрів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відповідно до комплексної програми соціальної підтримки учасників антитерористичної операції та операції об’єднаних сил, членів їх сімей</w:t>
            </w:r>
          </w:p>
        </w:tc>
        <w:tc>
          <w:tcPr>
            <w:vAlign w:val="top"/>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чол.</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чол.</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чол.</w:t>
            </w:r>
          </w:p>
        </w:tc>
        <w:tc>
          <w:tcPr>
            <w:vAlign w:val="top"/>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143500,00</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144400,00</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3500,00</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Відшкодування вартості пільгових ліків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271 чол /</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433 рецепти</w:t>
            </w:r>
          </w:p>
        </w:tc>
        <w:tc>
          <w:tcPr>
            <w:vAlign w:val="top"/>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683992,42</w:t>
            </w:r>
          </w:p>
        </w:tc>
      </w:tr>
      <w:tr>
        <w:trPr>
          <w:cantSplit w:val="0"/>
          <w:tblHeader w:val="0"/>
        </w:trPr>
        <w:tc>
          <w:tcPr>
            <w:vAlign w:val="top"/>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Компенсація фізичним особам, які надають соціальні послуги з догляду на непрофесійній основі”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(КСП)</w:t>
            </w:r>
          </w:p>
        </w:tc>
        <w:tc>
          <w:tcPr>
            <w:vAlign w:val="top"/>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 чол.</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(середній показник)</w:t>
            </w:r>
          </w:p>
        </w:tc>
        <w:tc>
          <w:tcPr>
            <w:vAlign w:val="top"/>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1092270,65</w:t>
            </w:r>
          </w:p>
        </w:tc>
      </w:tr>
      <w:tr>
        <w:trPr>
          <w:cantSplit w:val="0"/>
          <w:tblHeader w:val="0"/>
        </w:trPr>
        <w:tc>
          <w:tcPr>
            <w:vAlign w:val="top"/>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Програма підтримки сім’ї та забезпечення прав дітей “Щаслива родина-успішна громада” </w:t>
            </w:r>
            <w:r w:rsidDel="00000000" w:rsidR="00000000" w:rsidRPr="00000000">
              <w:rPr>
                <w:rtl w:val="0"/>
              </w:rPr>
            </w:r>
          </w:p>
        </w:tc>
        <w:tc>
          <w:tcPr>
            <w:vAlign w:val="top"/>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w:t>
            </w:r>
          </w:p>
        </w:tc>
        <w:tc>
          <w:tcPr>
            <w:vAlign w:val="top"/>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49000,00</w:t>
            </w:r>
          </w:p>
        </w:tc>
      </w:tr>
      <w:tr>
        <w:trPr>
          <w:cantSplit w:val="0"/>
          <w:tblHeader w:val="0"/>
        </w:trPr>
        <w:tc>
          <w:tcPr>
            <w:vAlign w:val="top"/>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Поховання бездомних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p>
        </w:tc>
        <w:tc>
          <w:tcPr>
            <w:vAlign w:val="top"/>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чол.</w:t>
            </w:r>
          </w:p>
        </w:tc>
        <w:tc>
          <w:tcPr>
            <w:vAlign w:val="top"/>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3877,68</w:t>
            </w:r>
          </w:p>
        </w:tc>
      </w:tr>
      <w:tr>
        <w:trPr>
          <w:cantSplit w:val="0"/>
          <w:tblHeader w:val="0"/>
        </w:trPr>
        <w:tc>
          <w:tcPr>
            <w:vAlign w:val="top"/>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w:t>
            </w:r>
          </w:p>
        </w:tc>
        <w:tc>
          <w:tcPr>
            <w:vAlign w:val="top"/>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1752</w:t>
            </w:r>
          </w:p>
        </w:tc>
        <w:tc>
          <w:tcPr>
            <w:vAlign w:val="top"/>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4310042,75</w:t>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 надання соціальних послуг в умовах воєнного стану організовувалася оперативно, протягом однієї доби  приймалися рішення про надання соціальних послуг, відповідно було прийнято рішення та надано притулок у стаціонарному відділенні комунальної установи Сквирської міської ради «Центр надання соціальних послуг» для 10 одиноких, не здатних до самообслуговування внутрішньо переміщених осіб.</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стаціонарному відділенні комунальної установи Сквирської міської ради «Центр надання соціальних послуг» с.Горобіївка на сьогоднішній день перебуває 30 осіб.</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26 грудня 2022 року, за підтримки благодійного фонду</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LET&amp;apos; S HELP!», було отримано дизельний генератор 6,5-7,5 кВт та гуманітарну допомогу у вигляді продуктів харчування.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Одиноким непрацездатним громадянам, особам похилого віку, рідні яких виїхали до відносно безпечних територій, надавалася соціальна послуга “догляд вдома”. У 2022 році розглянуто 123 заяви (первинне звернення) про потребу у наданні соціальної послуги «догляд вдома». В цілому така послуга надавалася 478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2022 року соціальними послугами було охоплено 348 сімей, в яких виховується 571 дитина до 18 років та надано 1965 послуг.</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фахівців із соціальної роботи та співпраці із закладами охорони здоров’я, волонтерами, одиноку матір направлено до Іспанії для проходження лікування дитини від онкологічного захворювання.</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Напередодні новорічно-різдвяних свят дітки з числа внутрішньо переміщених, які зверталися разом з батьками до Відділу соціального захисту мали змогу самостійно обрати іграшку до вподоби, одяг та взуття, які їм передали небайдужі жителі громади.</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tyjcwt"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програмному комплексі «Інтегрована інформаційна система» Соціальна громада» перевірено 5202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172 жителів Сквирської територіальної громади прийнято заяви на забезпечення технічними засобами реабілітації (ортопедичне взуття, ортези, палиці, милиці, ходунки та ін.), 7 звернень на ремонт електроскутерів та крісел колісних.</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квітня-грудня 2022 року розміщено 633 внутрішньо переміщені особи, компенсацію за тимчасове розміщення внутрішньо переміщених осіб нараховано в сумі 1338828 грн, через місцевий бюджет виплачено – 283569 гривень.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функціонують: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дитячий будинок сімейного типу Бондар с. Тарасівка – (9 вихованців у ДБСТ, 3 дітей - під опікою);</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прийомні сім'ї: в м. Сквира ПС Найди, с. Шамраївка ПС Бабенко (в ПС виховується  1 дитина) та в с. Кривошиїнці ПС Савченко (в ПС виховується 4 дітей, позбавлених батьківського піклування) – тимчасово евакуйовано до США.</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патронатна сім’я в м. Сквира (на вихованні протягом 2022 року перебувало 5 дітей).</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Сквирський дитячий будинок "Надія" Сквирської міської ради Київської області реорганізовано шляхом перетворення його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встановлено статус 12 дітям. Також здійснено заходи щодо усиновлення 2 малолітніх, повернення на виховання батькам (поновлення батьківських прав) – 2 дітей, встановлення батьківства – 1 дитина, встановлення опіки/піклування стосовно 7 дітей.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 </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реєстр багатодітних сімей Сквирської міської ради. В реєстрі перебувають 290 сімей, в них виховуються 959 дітей</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Щомісяця відбуваються засідання комісії з питань захисту прав дитини виконавчого комітету Сквирської міської ради.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підтримки національних сімейних традицій на території громади було проведено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щорічну благодійну акцію до Дня Святого Миколая «Подаруй дитині свято».</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Завдяки підтримці небайдужих громадян подарунки отримали 140 дітей, які потребують особливої соціальної уваги та підтримки. За кошти комплексної програми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підтримки сім’ї та забезпечення прав дітей „Щаслива родина – успішна громада“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закуплено 500 солодких подарунків для дітей з соціально незахищених категорій.</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просвітницька та роз’яснювальна робота,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спрямована на запобігання насильству в сім’ї, а також по залученню учнів навчальних закладів до освітнього процесу.</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Служби спільно з працівниками ювенальної превенції у справах дітей проводяться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проведено оздоровлення 18 дітей в ДПУ МДЦ «Артек».</w:t>
      </w:r>
    </w:p>
    <w:p w:rsidR="00000000" w:rsidDel="00000000" w:rsidP="00000000" w:rsidRDefault="00000000" w:rsidRPr="00000000" w14:paraId="000000C2">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із напрямків роботи відділу з питань праці, соціального захисту та соціального забезпечення Сквирської міської ради  є здійснення постійного контролю за станом виплати заробітної плати найманим працівникам на підприємствах територіальної громади.</w:t>
      </w:r>
    </w:p>
    <w:p w:rsidR="00000000" w:rsidDel="00000000" w:rsidP="00000000" w:rsidRDefault="00000000" w:rsidRPr="00000000" w14:paraId="000000C3">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мониторингу на економічно-активних підприємствах громади заборгованість із заробітної плати відсутня.</w:t>
      </w:r>
    </w:p>
    <w:p w:rsidR="00000000" w:rsidDel="00000000" w:rsidP="00000000" w:rsidRDefault="00000000" w:rsidRPr="00000000" w14:paraId="000000C4">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01.01.2023 КП «Сквирське комунальне господарство» має заборгованість із заробітної плати 22 працівникам на суму 182,3 тис. грн (за листопад 2022 року). Також рахується поточна заборгованість (грудень 2022 року) 24 працівникам в сумі 250 тис. гривень.</w:t>
      </w:r>
    </w:p>
    <w:p w:rsidR="00000000" w:rsidDel="00000000" w:rsidP="00000000" w:rsidRDefault="00000000" w:rsidRPr="00000000" w14:paraId="000000C5">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листопаді 2022 року на підприємстві складено графік погашення заборгованості в сумі 576,00 тис. грн з розбивкою на 6 місяців (по 96 тис. грн щомісячно) до червня 2023 року.</w:t>
      </w:r>
    </w:p>
    <w:p w:rsidR="00000000" w:rsidDel="00000000" w:rsidP="00000000" w:rsidRDefault="00000000" w:rsidRPr="00000000" w14:paraId="000000C6">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Проводиться моніторинг стану погашення заборгованості із заробітної плати працівникам КП «Сквирське комунальне господарство». Керівника підприємства заслухано на засіданні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 </w:t>
      </w:r>
    </w:p>
    <w:p w:rsidR="00000000" w:rsidDel="00000000" w:rsidP="00000000" w:rsidRDefault="00000000" w:rsidRPr="00000000" w14:paraId="000000C7">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звітний період організовано проведення:</w:t>
      </w:r>
    </w:p>
    <w:p w:rsidR="00000000" w:rsidDel="00000000" w:rsidP="00000000" w:rsidRDefault="00000000" w:rsidRPr="00000000" w14:paraId="000000C8">
      <w:pPr>
        <w:ind w:firstLine="567"/>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1 засідання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w:t>
      </w:r>
      <w:r w:rsidDel="00000000" w:rsidR="00000000" w:rsidRPr="00000000">
        <w:rPr>
          <w:rtl w:val="0"/>
        </w:rPr>
      </w:r>
    </w:p>
    <w:p w:rsidR="00000000" w:rsidDel="00000000" w:rsidP="00000000" w:rsidRDefault="00000000" w:rsidRPr="00000000" w14:paraId="000000C9">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аналіз виробничого травматизму в громаді. У звітному періоді зареєстровано 1 випадок виробничого травматизму в ТОВ «Сквирський комбінат хлібопродуктів».</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6.3. Транспортне сполучення</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паспорти маршрутів на кожен із маршрутів.</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Сквирською міською радою проведено 6 конкурсів з визначення автомобільних перевізників на автобусних маршрутах загального користування, за результатами проведених конкурсів було визначено переможців по маршрутах: Сквира АС – с. Каленна МПП; Сквира АС – с. Миньківці, ч/з с. Кривошиїнці та Сквира АС – с. Мовчанівка.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01.11.2022 року залишаються не задіяними 7 маршрутів, що сполучають села громади з м. Сквира та 1 кільцевий маршрут по місту.</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dy6vkm" w:id="8"/>
      <w:bookmarkEnd w: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Житлово-комунальне господарство.</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незважаючи на введення військового стану, комунальними підприємствами Сквирської міської ради забезпечено стабільну роботу та надання комунальних послуг. Проводилась робота, спрямована на забезпечення потреб населення та господарського комплексу Сквирської міської територіальної громади у наданні житлово-комунальних послуг а також покращення якості житлово-комунальних послуг, що надаються комунальним підприємством «Сквирське комунальне господарство».</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підготовки житлових будинків у м.Сквира до осінньо-зимового періоду спеціалістами КП «Сквирське комунальне господарство» проведено такі роботи:</w:t>
      </w:r>
    </w:p>
    <w:p w:rsidR="00000000" w:rsidDel="00000000" w:rsidP="00000000" w:rsidRDefault="00000000" w:rsidRPr="00000000" w14:paraId="000000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систем холодного водопостачання за адресами: вул. Незалежності, буд.145, 147, вул. Богачевського, буд.15, 17, 51, 53, 58, 62, 49, пров. Каштановий, буд.6, 15, пров. Горького, буд.3-а, вул. Соборна, буд.8, 11, 19, 29, вул. Київська, буд.5, вул. М.Рильського, буд.52, 34, 48, вул. Фруктових Садів, буд.7;</w:t>
      </w:r>
    </w:p>
    <w:p w:rsidR="00000000" w:rsidDel="00000000" w:rsidP="00000000" w:rsidRDefault="00000000" w:rsidRPr="00000000" w14:paraId="000000D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внутрішньобудинкових систем електропостачання за адресами: вул .Незалежності, буд.145, 147, вул. Богачевського, буд.15, 17, 48, 51, 53, пров. Каштановий, буд.6, 15, пров. Горького, буд.3а, вул. Соборна, буд.8, 11, 19, 29, вул. Київська, буд.5, вул. М.Рильського, буд.52, 49, 48, вул. Набережна, буд.7, 15, 13;</w:t>
      </w:r>
    </w:p>
    <w:p w:rsidR="00000000" w:rsidDel="00000000" w:rsidP="00000000" w:rsidRDefault="00000000" w:rsidRPr="00000000" w14:paraId="000000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забивання слухових вікон на горищах за адресами: вул. Набережна, 1, 7, 13, 15, 21, 23;</w:t>
      </w:r>
    </w:p>
    <w:p w:rsidR="00000000" w:rsidDel="00000000" w:rsidP="00000000" w:rsidRDefault="00000000" w:rsidRPr="00000000" w14:paraId="000000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замуровування слухових вікон за адресами: вул. Богачевського, 51, 53, пров. Каштановий, 6, вул. Незалежності, 145, 147, пров. Горького, 3а;</w:t>
      </w:r>
    </w:p>
    <w:p w:rsidR="00000000" w:rsidDel="00000000" w:rsidP="00000000" w:rsidRDefault="00000000" w:rsidRPr="00000000" w14:paraId="000000D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утеплення трубопроводів у підвальних приміщеннях за адресами: вул. Соборна, 11.</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жовтні 2022 року Сквирською міською радою проведено конкурс на визначення управителя багатоквартирного будинку (групи будинків) у м.Сквира та на визначення виконавця послуги з поводження з твердими побутовими відходами. Підприємство надіслало конкурсні комісії конкурсну пропозицію для участі у конкурсі. За результатами конкурсу КП «Сквирське комунальне господарство» визначено управителем багатоквартирних будинків у м.Сквира, що входили до об’єкта конкурсу та виконавцем послуги з поводження з твердими побутовими відходами. Встановлено новий тариф на послуги зазначений у конкурсній пропозиції, який вступив в силу з 01 листопада 2022 року.</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покращення якості житлово-комунальних послуг, що надаються КП «Сквирське комунальне господарство» проведено такі роботи:</w:t>
      </w:r>
    </w:p>
    <w:p w:rsidR="00000000" w:rsidDel="00000000" w:rsidP="00000000" w:rsidRDefault="00000000" w:rsidRPr="00000000" w14:paraId="000000D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внесено зміни у графік вивезення ТПВ від приватних домоволодінь (упорядковано вулиці у графіку, визначено черговість руху спецтранспорту по вулицях, де здійснюється збір ТПВ, а також внесено орієнтовний час прибуття спецтранспорту на кожну із вулиць). Графік коригується на вимогу споживачів виходячи з можливостей підприємства;</w:t>
      </w:r>
    </w:p>
    <w:p w:rsidR="00000000" w:rsidDel="00000000" w:rsidP="00000000" w:rsidRDefault="00000000" w:rsidRPr="00000000" w14:paraId="000000D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триває робота з уклада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ння угод на надання комунальної послуги з поводження з твердими побутовими відходами та спілкування із споживачами стосовно правил поводження з ТПВ, умов надання послуги тощо;</w:t>
      </w:r>
    </w:p>
    <w:p w:rsidR="00000000" w:rsidDel="00000000" w:rsidP="00000000" w:rsidRDefault="00000000" w:rsidRPr="00000000" w14:paraId="000000D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налагоджено інформування споживачів стосовно графіку вивозу та змін до нього, заборгованості з житлово-комунальні послуги, проведення різних заходів, додаткових послуг тощо за </w:t>
      </w:r>
      <w:r w:rsidDel="00000000" w:rsidR="00000000" w:rsidRPr="00000000">
        <w:rPr>
          <w:rFonts w:ascii="Times New Roman" w:cs="Times New Roman" w:eastAsia="Times New Roman" w:hAnsi="Times New Roman"/>
          <w:sz w:val="28"/>
          <w:szCs w:val="28"/>
          <w:rtl w:val="0"/>
        </w:rPr>
        <w:t xml:space="preserve">допомогою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мережі Facebook та електронних засобів передачі інформації (Viber\Telegram);</w:t>
      </w:r>
    </w:p>
    <w:p w:rsidR="00000000" w:rsidDel="00000000" w:rsidP="00000000" w:rsidRDefault="00000000" w:rsidRPr="00000000" w14:paraId="000000D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триває оновлення даних споживачів. Споживачам повідомляється, що на вимогу договору про надання послуг з поводження з ТПВ споживач зобов’язаний надати довідку про зареєстрованих осіб у приміщенні та оновити свої дані</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робота із споживачами з впровадження контейнерної схеми збору ТПВ: вул. Толстого, частина вул. Кобзаря, пров. Яблуневий,</w:t>
      </w:r>
      <w:r w:rsidDel="00000000" w:rsidR="00000000" w:rsidRPr="00000000">
        <w:rPr>
          <w:rFonts w:ascii="Times New Roman" w:cs="Times New Roman" w:eastAsia="Times New Roman" w:hAnsi="Times New Roman"/>
          <w:sz w:val="28"/>
          <w:szCs w:val="28"/>
          <w:rtl w:val="0"/>
        </w:rPr>
        <w:t xml:space="preserve"> пров.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Річковий, частина вул. Проєктна, вул. Селекційна проведено загальні збори, визначено місце розташування контейнерів, роз’яснено правила поводження з ТПВ</w:t>
      </w:r>
      <w:r w:rsidDel="00000000" w:rsidR="00000000" w:rsidRPr="00000000">
        <w:rPr>
          <w:rFonts w:ascii="Times New Roman" w:cs="Times New Roman" w:eastAsia="Times New Roman" w:hAnsi="Times New Roman"/>
          <w:sz w:val="28"/>
          <w:szCs w:val="28"/>
          <w:rtl w:val="0"/>
        </w:rPr>
        <w:t xml:space="preserve">, оплати послуг;</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проведено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збори співвласників багатоквартирних </w:t>
      </w:r>
      <w:r w:rsidDel="00000000" w:rsidR="00000000" w:rsidRPr="00000000">
        <w:rPr>
          <w:rFonts w:ascii="Times New Roman" w:cs="Times New Roman" w:eastAsia="Times New Roman" w:hAnsi="Times New Roman"/>
          <w:sz w:val="28"/>
          <w:szCs w:val="28"/>
          <w:rtl w:val="0"/>
        </w:rPr>
        <w:t xml:space="preserve">будинків,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яких обговорюються питання щодо оприлюднення угод на надання послуг, переліку складових послуг, що надаються, правил поводження з ТПВ, правил благоустрою міста, обслуговування будинку тощо;</w:t>
      </w:r>
    </w:p>
    <w:p w:rsidR="00000000" w:rsidDel="00000000" w:rsidP="00000000" w:rsidRDefault="00000000" w:rsidRPr="00000000" w14:paraId="000000D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роботу з бюджетними установами, організаціями та підприємствами щодо надання послуг з </w:t>
      </w:r>
      <w:r w:rsidDel="00000000" w:rsidR="00000000" w:rsidRPr="00000000">
        <w:rPr>
          <w:rFonts w:ascii="Times New Roman" w:cs="Times New Roman" w:eastAsia="Times New Roman" w:hAnsi="Times New Roman"/>
          <w:sz w:val="28"/>
          <w:szCs w:val="28"/>
          <w:rtl w:val="0"/>
        </w:rPr>
        <w:t xml:space="preserve">вивез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ення ТПВ. Сторонам надано проєкти договорів про надання послуг, визначено модель збору ТПВ та надано контейнери у безоплатне користування;</w:t>
      </w:r>
    </w:p>
    <w:p w:rsidR="00000000" w:rsidDel="00000000" w:rsidP="00000000" w:rsidRDefault="00000000" w:rsidRPr="00000000" w14:paraId="000000E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проводяться заходи щодо вибору та впровадження моделі поводження з ТПВ з іншими юридичними особами у м.Сквира;</w:t>
      </w:r>
    </w:p>
    <w:p w:rsidR="00000000" w:rsidDel="00000000" w:rsidP="00000000" w:rsidRDefault="00000000" w:rsidRPr="00000000" w14:paraId="000000E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опрацьовуються та надаються відповіді на звернення, заяви, інформаційні запити громадян з різних питань, що стосуються надання послуг.</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(11,02 га)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вартість якого склала 233 625 гривень.</w:t>
      </w:r>
    </w:p>
    <w:p w:rsidR="00000000" w:rsidDel="00000000" w:rsidP="00000000" w:rsidRDefault="00000000" w:rsidRPr="00000000" w14:paraId="000000E3">
      <w:pPr>
        <w:spacing w:line="259"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Заборгованість населення перед КП «Сквирське комунальне господарство» станом на</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01.01.2023 року становить 1601617,69 грн, що на 469819,52 грн більше у порівнянні з заборгованістю станом на 01.01.2022 року, в т.ч. по квартплаті: заборгованість становить 718210,44 грн, поводження з ТПВ 883407,25 гривень.</w:t>
      </w:r>
    </w:p>
    <w:p w:rsidR="00000000" w:rsidDel="00000000" w:rsidP="00000000" w:rsidRDefault="00000000" w:rsidRPr="00000000" w14:paraId="000000E4">
      <w:pPr>
        <w:spacing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підвищення прибутку підприємства проведено такі роботи:</w:t>
      </w:r>
    </w:p>
    <w:p w:rsidR="00000000" w:rsidDel="00000000" w:rsidP="00000000" w:rsidRDefault="00000000" w:rsidRPr="00000000" w14:paraId="000000E5">
      <w:pPr>
        <w:numPr>
          <w:ilvl w:val="0"/>
          <w:numId w:val="5"/>
        </w:numPr>
        <w:spacing w:line="240" w:lineRule="auto"/>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укладено 194 угоди з фізичними особами та 54 угоди з юридичними особами на надання комунальної послуги поводження з твердими побутовими відходами;</w:t>
      </w:r>
      <w:r w:rsidDel="00000000" w:rsidR="00000000" w:rsidRPr="00000000">
        <w:rPr>
          <w:rtl w:val="0"/>
        </w:rPr>
      </w:r>
    </w:p>
    <w:p w:rsidR="00000000" w:rsidDel="00000000" w:rsidP="00000000" w:rsidRDefault="00000000" w:rsidRPr="00000000" w14:paraId="000000E6">
      <w:pPr>
        <w:numPr>
          <w:ilvl w:val="0"/>
          <w:numId w:val="5"/>
        </w:numPr>
        <w:spacing w:line="240" w:lineRule="auto"/>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з 01 листопада 2022 року, у відповідності до ЗУ «Про житлово-комунальні послуги», проведено публікацію Індивідуального договору на офіційному веб-сайті органу місцевого самоврядування (Сквирська міська рада). Відповідно до Індивідуального договору, всі жителі (фізичні особи) мають договірні відносини з КП «Сквирське комунальне господарство». Про відмову від умов договору протягом набрання чинності договору жоден із жителів у м.Сквира не повідомив. Працівниками проводяться заходи щодо виявлення споживачів та уточнення особистих даних споживачів;</w:t>
      </w:r>
      <w:r w:rsidDel="00000000" w:rsidR="00000000" w:rsidRPr="00000000">
        <w:rPr>
          <w:rtl w:val="0"/>
        </w:rPr>
      </w:r>
    </w:p>
    <w:p w:rsidR="00000000" w:rsidDel="00000000" w:rsidP="00000000" w:rsidRDefault="00000000" w:rsidRPr="00000000" w14:paraId="000000E7">
      <w:pPr>
        <w:numPr>
          <w:ilvl w:val="0"/>
          <w:numId w:val="5"/>
        </w:numPr>
        <w:spacing w:line="240" w:lineRule="auto"/>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опубліковано оголошення про можливість надавати додаткові послуги населенню м.Сквира (послуги електрика, слюсаря-сантехніка, вивіз сміття, що не входить до складу ТПВ), а також про послуги ритуальної служби;</w:t>
      </w:r>
      <w:r w:rsidDel="00000000" w:rsidR="00000000" w:rsidRPr="00000000">
        <w:rPr>
          <w:rtl w:val="0"/>
        </w:rPr>
      </w:r>
    </w:p>
    <w:p w:rsidR="00000000" w:rsidDel="00000000" w:rsidP="00000000" w:rsidRDefault="00000000" w:rsidRPr="00000000" w14:paraId="000000E8">
      <w:pPr>
        <w:numPr>
          <w:ilvl w:val="0"/>
          <w:numId w:val="5"/>
        </w:numPr>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з місцевого бюджету виділено кошти по результатах діяльності підприємства за перше півріччя у сумі 169000 гривень. Підстава виділення коштів - Рішення сесії Сквирської міської ради від 18.05.2022 року №03-22-VIII;</w:t>
      </w:r>
      <w:r w:rsidDel="00000000" w:rsidR="00000000" w:rsidRPr="00000000">
        <w:rPr>
          <w:rtl w:val="0"/>
        </w:rPr>
      </w:r>
    </w:p>
    <w:p w:rsidR="00000000" w:rsidDel="00000000" w:rsidP="00000000" w:rsidRDefault="00000000" w:rsidRPr="00000000" w14:paraId="000000E9">
      <w:pPr>
        <w:numPr>
          <w:ilvl w:val="0"/>
          <w:numId w:val="5"/>
        </w:numPr>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рішенням сесії Сквирської міської ради №09-17-VIII від 23 грудня 2021 року «Про затвердження в новій редакції Програми забезпечення збору, вивезення та захоронення твердих побутових відходів у Сквирській міській територіальній громаді на 2021 – 2025 роки» виділено кошти в сумі 370000 грн, які використано згідно помісячного плану використання бюджетних коштів.</w:t>
      </w:r>
      <w:r w:rsidDel="00000000" w:rsidR="00000000" w:rsidRPr="00000000">
        <w:rPr>
          <w:rtl w:val="0"/>
        </w:rPr>
      </w:r>
    </w:p>
    <w:p w:rsidR="00000000" w:rsidDel="00000000" w:rsidP="00000000" w:rsidRDefault="00000000" w:rsidRPr="00000000" w14:paraId="000000EA">
      <w:pPr>
        <w:numPr>
          <w:ilvl w:val="0"/>
          <w:numId w:val="5"/>
        </w:numPr>
        <w:spacing w:after="0" w:lineRule="auto"/>
        <w:ind w:left="0" w:firstLine="566.9291338582675"/>
        <w:rPr>
          <w:sz w:val="28"/>
          <w:szCs w:val="28"/>
        </w:rPr>
      </w:pPr>
      <w:r w:rsidDel="00000000" w:rsidR="00000000" w:rsidRPr="00000000">
        <w:rPr>
          <w:rFonts w:ascii="Times New Roman" w:cs="Times New Roman" w:eastAsia="Times New Roman" w:hAnsi="Times New Roman"/>
          <w:sz w:val="28"/>
          <w:szCs w:val="28"/>
          <w:rtl w:val="0"/>
        </w:rPr>
        <w:t xml:space="preserve">рішенням сесії Сквирської міської ради №02-19-VIII від 22 лютого 2022 року «Про внесення змін до рішення міської ради від 23 грудня 2021 року №04-17-VIII «Про бюджет Сквирської міської територіальної громади на 2022 рік» виділено кошти в сумі 3457409,98 грн, які використано на сплату грошових зобов’язань по акту перевірки від 09.11.21 року №18818/10-36-07-15/34921014 в сумі, що підтверджується платіжним дорученням №8 та №9 від 23 лютого 2022 року.</w:t>
      </w:r>
      <w:r w:rsidDel="00000000" w:rsidR="00000000" w:rsidRPr="00000000">
        <w:rPr>
          <w:rtl w:val="0"/>
        </w:rPr>
      </w:r>
    </w:p>
    <w:p w:rsidR="00000000" w:rsidDel="00000000" w:rsidP="00000000" w:rsidRDefault="00000000" w:rsidRPr="00000000" w14:paraId="000000EB">
      <w:p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Рішенням Сквирської міської ради від 27.01.2022 №20-18-VІІІ затверджена Програма ефективності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2022 рік, на фінансування якої в бюджеті громади на 2022 рік передбачені кошти в сумі 461,5 тис. гривень. Фактично  профінансовано 461,5 тис. грн, з них: 396,5 тис. грн - відшкодування різниці в тарифах (кошти перераховано на виплату заробітної плати); 65,0 тис. грн - придбання обладнання для поточного ремонту. </w:t>
      </w:r>
    </w:p>
    <w:p w:rsidR="00000000" w:rsidDel="00000000" w:rsidP="00000000" w:rsidRDefault="00000000" w:rsidRPr="00000000" w14:paraId="000000EC">
      <w:pPr>
        <w:ind w:firstLine="567"/>
        <w:rPr>
          <w:rFonts w:ascii="Times New Roman" w:cs="Times New Roman" w:eastAsia="Times New Roman" w:hAnsi="Times New Roman"/>
          <w:sz w:val="28"/>
          <w:szCs w:val="28"/>
        </w:rPr>
      </w:pPr>
      <w:bookmarkStart w:colFirst="0" w:colLast="0" w:name="_heading=h.1t3h5sf" w:id="9"/>
      <w:bookmarkEnd w:id="9"/>
      <w:r w:rsidDel="00000000" w:rsidR="00000000" w:rsidRPr="00000000">
        <w:rPr>
          <w:rFonts w:ascii="Times New Roman" w:cs="Times New Roman" w:eastAsia="Times New Roman" w:hAnsi="Times New Roman"/>
          <w:sz w:val="28"/>
          <w:szCs w:val="28"/>
          <w:rtl w:val="0"/>
        </w:rPr>
        <w:t xml:space="preserve">Для безперебійної роботи централізованого водопостачання та водовідведення, в періоди відключень електроенергії, міською радою забезпечено КП «Сквир-водоканал» генераторами потужністю 35 та 55 кВТ. Всього безперебійну  роботу КП «Сквир-водоканал» в умовах воєнного стану  забезпечують три генератори: два  встановлені на КНС-2, КНС-очисні, третій - встановлюється на ВНС-2.  </w:t>
      </w:r>
    </w:p>
    <w:p w:rsidR="00000000" w:rsidDel="00000000" w:rsidP="00000000" w:rsidRDefault="00000000" w:rsidRPr="00000000" w14:paraId="000000ED">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 «Сквир-водоканал» протягом  2022  року подало в мережу 388,5 тис. куб. м питної води, що на 5,1 тис. куб. більше, ніж за 2021 рік, пропустило 136,2 тис. куб. м стічних вод, що на 13,5 тис. куб. менше, ніж за 2021 рік.</w:t>
      </w:r>
    </w:p>
    <w:p w:rsidR="00000000" w:rsidDel="00000000" w:rsidP="00000000" w:rsidRDefault="00000000" w:rsidRPr="00000000" w14:paraId="000000EE">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міського бюджету в 2022 році виготовлено проєктно-кошторисну документацію на проведення реконструкції систем водопостачання по вулицях Новоселецька та Кібенка, провулках Новоселецький та Кільцевий в м.Сквира (180,3 тис. гривень). Проведено реконструкцію систем водопостачання по вулиці Новоселецька, провулках Новоселецький та Кільцевий в м.Сквира (984,5 тис. гривень).</w:t>
      </w:r>
    </w:p>
    <w:p w:rsidR="00000000" w:rsidDel="00000000" w:rsidP="00000000" w:rsidRDefault="00000000" w:rsidRPr="00000000" w14:paraId="000000EF">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2022 році продовжувалися роботи з технічного переоснащення ВНС КП «Сквир-водоканал» (кошти державного та міського бюджетів – 1046,2 тис. гривень). Роботи будуть завершені в 2023 році.</w:t>
      </w:r>
    </w:p>
    <w:p w:rsidR="00000000" w:rsidDel="00000000" w:rsidP="00000000" w:rsidRDefault="00000000" w:rsidRPr="00000000" w14:paraId="000000F0">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Комунальне підприємство «Сквир-водоканал» в 2022 році визначено переможцем в конкурсі з визначення виконавця послуг з вивезення рідких побутових відходів в межах Сквирської міської територіальної громади.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01.01.2023 року заборгованість за надані послуги з водопостачання та водовідведення перед КП «Сквир-водоканал» міського бюджету становить 69,9 тис. грн, що на 116,5 тис. грн менше порівняно з заборгованістю на 01.01.2022 року, переплата обласного бюджету та  державного  бюджету 146,5 тис. гривень.  Станом на 01.01.2023 року заборгованість  населення становить  992,5 тис. грн, що на 301,6 тис. грн більше порівняно з заборгованістю станом на 01.01.2022 року.</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«Сквир-водоканал» проводиться робота, спрямована на зменшення заборгованості за надані послуги водопостачання та водовідведення, зокрема: щомісяця надсилаються письмові повідомлення боржникам, борг яких становить понад 300 грн, в телефонному режимі повідомляється боржникам про необхідність погашення боргу, при необхідності направляються заяви до Сквирського районного суду на видачу судових наказів.</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Будівельна діяльність.</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23.12.2021 № 23-17-VІІІ затверджена Програма будівництва, реконструкції та ремонту об’єктів інфраструктури Сквирської міської територіальної громади на 2022-2027 роки, на  фінансування якої в бюджеті Сквирської міської територіальної громади на 2022 рік були передбачені кошти в сумі 11538728,30 грн, з них фактично профінансовано (виконано робіт) 8953487,58 тис. гривень.</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Ці видатки були заплановані на капітальні ремонти закладів освіти, культури, медицини та ремонт доріг, реконструкцію водопровідних мереж з виготовленням проєктно-кошторисної документації.</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було виготовлено проєктно-кошторисну документацію на капітальний ремонт (система пожежної сигналізації, система керування евакуюванням) приміщень закладів освіти  - Сквирського навчально-виховного комплексу «Заклад загальної середньої освіти І-ІІІ ст. №5 – заклад дошкільної освіти», Самгородоцького навчально-виховного комплексу «Заклад загальної середньої освіти І-ІІІ ступенів – заклад дошкільної освіти», Кривошиїнського навчально-виховного комплексу  «Заклад загальної середньої освіти І-ІІІ ступенів – заклад дошкільної освіти» та на капітальний ремонт (систем пожежної сигналізації та керування евакуюванням,  блискавкозахисту та евакуаційного виходу) будівлі Сквирської дитячо-юнацької спортивної школи імені Воропая П.М. та закладу культури - будинку культури с.Кривошиїнці (монтаж системи  протипожежної сигналізації, системи передавання тривожних сповіщень, системи керування евакуюванням).</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всіх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зазначених закладах роботи з капітального ремонту пожежної сигналізації вже виконані,  загальна сума коштів, виділених з міського бюджету, становить 1526,872 тис. гривень.</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за кошти міського бюджету в сумі 1508,549 тис. грн, проведено капітальний ремонт харчоблоку Сквирського академічного ліцею.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продовжувалась робота з будівництва підвідного газопроводу до сіл Рогізна, Краснянка та Дунайка. Було профінансовано 1046,2 тис. гривень. В 2023 році плану</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заверш</w:t>
      </w:r>
      <w:r w:rsidDel="00000000" w:rsidR="00000000" w:rsidRPr="00000000">
        <w:rPr>
          <w:rFonts w:ascii="Times New Roman" w:cs="Times New Roman" w:eastAsia="Times New Roman" w:hAnsi="Times New Roman"/>
          <w:sz w:val="28"/>
          <w:szCs w:val="28"/>
          <w:rtl w:val="0"/>
        </w:rPr>
        <w:t xml:space="preserve">ити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роботи щодо об’єкту будівництва.</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в 2022 році виготовлено проєктно-кошторисну документацію на капітальний ремонт будівлі дитячого відділення КНП СМР «СКВИРСЬКА ЦМЛ» (система пожежної сигналізації та система керування евакуюванням, вогнезахист дерев’яних конструкцій покрівлі) та на капітальний ремонт будівлі пологового відділення КНП СМР «Сквирський МЦПМСД» (система пожежної сигналізації та система керування евакуюванням, вогнезахист дерев’яних конструкцій покрівлі)» та на капітальний ремонт харчоблоку Шамраївського НВК.</w:t>
      </w: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6</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Містобудівна діяльність.</w:t>
      </w: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містобудівної документації є одним з головних напрямів діяльності для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Протягом 2022 року відділом архітектури, містобудування та інфраструктури підготовлено та видано 8 містобудівних умов та обмежень для проектування об’єктів будівництва:</w:t>
      </w:r>
    </w:p>
    <w:p w:rsidR="00000000" w:rsidDel="00000000" w:rsidP="00000000" w:rsidRDefault="00000000" w:rsidRPr="00000000" w14:paraId="000000F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будівництво центру надання адміністративних послуг Сквирської міської територіальної громади Білоцерківського району Київської області на земельній ділянці комунальної власності по вул. Соборній, 16 в м. Сквира Білоцерківського району Київської області.</w:t>
      </w:r>
      <w:bookmarkStart w:colFirst="0" w:colLast="0" w:name="bookmark=id.17dp8vu" w:id="10"/>
      <w:bookmarkEnd w:id="10"/>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(Замовник: Відділ капітального будівництва Сквирської міської ради);</w:t>
      </w:r>
    </w:p>
    <w:p w:rsidR="00000000" w:rsidDel="00000000" w:rsidP="00000000" w:rsidRDefault="00000000" w:rsidRPr="00000000" w14:paraId="000000F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власної частини житлового будинку (11/20 частка)  під нежитлове приміщення (офіс) по вул. Київська, 5-А в м. Сквира Білоцерківського району Київської області.</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(Замовник: Максимчук Олександр Володимирович);</w:t>
      </w:r>
    </w:p>
    <w:p w:rsidR="00000000" w:rsidDel="00000000" w:rsidP="00000000" w:rsidRDefault="00000000" w:rsidRPr="00000000" w14:paraId="000000F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 Кібенка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0F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 Новоселецька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0F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провулку Кільцевому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технічне переоснащення існуючої </w:t>
      </w:r>
      <w:r w:rsidDel="00000000" w:rsidR="00000000" w:rsidRPr="00000000">
        <w:rPr>
          <w:rFonts w:ascii="Times New Roman" w:cs="Times New Roman" w:eastAsia="Times New Roman" w:hAnsi="Times New Roman"/>
          <w:sz w:val="28"/>
          <w:szCs w:val="28"/>
          <w:rtl w:val="0"/>
        </w:rPr>
        <w:t xml:space="preserve">зерносушилки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А1-ДСП-50, будівництво теплового пункту на земельній ділянці ТОВ «Сквирський комбінат хлібопродуктів» по вул. Київська, 25 в м. Сквира Білоцерківського району Київської області. (Замовник: ТОВ «Сквирський комбінат хлібопродуктів»);</w:t>
      </w:r>
    </w:p>
    <w:p w:rsidR="00000000" w:rsidDel="00000000" w:rsidP="00000000" w:rsidRDefault="00000000" w:rsidRPr="00000000" w14:paraId="000001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вулиці Новоселецькій (від жит. будинку №30 до жит. будинку №34)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будівництво багатофункціонального комплексу  комерційного призначення з громадською вбиральнею, площею відпочинку громадян та зупинкою громадського транспорту по вул. Соборній, 21 в м. Сквира Білоцерківського</w:t>
      </w: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району Київської області. (Замовник:  Комунальне підприємство «Сквираблагоустрій»).</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1 засідання архітектурно-містобудівної ради, на якому була розглянута  містобудівна документація</w:t>
      </w:r>
      <w:r w:rsidDel="00000000" w:rsidR="00000000" w:rsidRPr="00000000">
        <w:rPr>
          <w:rFonts w:ascii="Times New Roman" w:cs="Times New Roman" w:eastAsia="Times New Roman" w:hAnsi="Times New Roman"/>
          <w:sz w:val="28"/>
          <w:szCs w:val="28"/>
          <w:rtl w:val="0"/>
        </w:rPr>
        <w:t xml:space="preserve">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«Детальний план території земельних ділянок площею 8,0862 га,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площею</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17,3351 га та   площею 30,5535 га, з метою розширення Шамраївського родовища гранітів та організації виробництва щебеневої продукції в с. Шамраївка  Сквирської міської територіальної громади Білоцерківського району Київської області»    (Замовник: Сквирська міська рада, Інвестор: ТОВ «Шамраївське»).</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Сквирською міською радою прийняті рішення про надання дозволу на розробку містобудівної документації:</w:t>
      </w:r>
    </w:p>
    <w:p w:rsidR="00000000" w:rsidDel="00000000" w:rsidP="00000000" w:rsidRDefault="00000000" w:rsidRPr="00000000" w14:paraId="000001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розробку детального плану території для будівництва садибного (індивідуального) житлового будинку на земельній ділянці з кадастр. номером: 224087202:01:020:0019, площею 0,2448</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га по вул. Набережна, 4 (колишня вул. Дехтяренка)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Чубинці Білоцерківського району Київської області, з метою зміни цільового призначення земельної ділянки. (Замовник: Сквирська міська рада, Інвестор: Суслов Іван Миколайович);</w:t>
      </w:r>
    </w:p>
    <w:p w:rsidR="00000000" w:rsidDel="00000000" w:rsidP="00000000" w:rsidRDefault="00000000" w:rsidRPr="00000000" w14:paraId="000001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розробку «Детального плану території для будівництва відстійника-гноєнакопи-чувача (лагуни) місткістю 1000,0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частини власної земельної ділянки ТОВ "Агрофірми «Колос»", кадастровий номер: 3224085900:04:014:0002, площею 46,3178 га в с. Пустоварівка Білоцерківського району Київської області (Замовник: Сквирська міська рада, Інвестор: ТОВ "Агрофірма «Колос»").</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52 висновка</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про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погодження технічної документації з землеустрою щодо встановлення (відновлення) меж земельних ділянок в натурі на місцевості, з яких 23</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висновка видано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м. Сквира та 29 висновків видано по сільським населеним пунктам Сквирської міської територіальної громади.</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ідготовлено та видано через</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ортал Єдиної державної електронної системи у сфері будівництва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будівельні паспорти за заявами індивідуальних забудовників на будівництво та реконструкцію індивідуальних житлових будинків – по 5 об’єктам.</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ідтверджено чинність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раніше виданих будівельних паспортів для індивідуальних забудовників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через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ортал Єдиної державної електронної системи у сфері будівництва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по 3-х об’єктах.</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Демонтовано та здійснено перенос тимчасових споруд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провадження підприємницької діяльності, які розміщувались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площі громадських зібрань по вул. Соборній, 21 в м. Сквира – всього було демонтовано – 42 тимчасові споруди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провадження підприємницької діяльності.</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ідготовлено та видано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паспорти прив’язки на розміщення (встановлення) тимчасових споруд для здійснення підприємницької діяльності – 27 паспортів ТС з послідуючим оформлення договорів сервітутів тимчасового платного використання земельних ділянок під тимчасовими спорудами для здійснення підприємницької діяльності.</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метою </w:t>
      </w:r>
      <w:r w:rsidDel="00000000" w:rsidR="00000000" w:rsidRPr="00000000">
        <w:rPr>
          <w:rFonts w:ascii="Times New Roman" w:cs="Times New Roman" w:eastAsia="Times New Roman" w:hAnsi="Times New Roman"/>
          <w:sz w:val="28"/>
          <w:szCs w:val="28"/>
          <w:rtl w:val="0"/>
        </w:rPr>
        <w:t xml:space="preserve">впорядкування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вуличної торгівлі в м. Сквира було підготовлено та прийнято два рішення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виконкому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одне з них «Про обмеження дорожнього руху в межах центральної частини міста Сквира, на відрізку дороги по вул. Червона (між вулицею Соборною та площею Героїв Небесної Сотні)», та «Про визначення місця для розміщення групи тимчасових споруд (скор. ТС) для здійснення підприємницької діяльності та торгових лотків для продажу продовольчих товарів, які будуть перенесені з площі громадських зібрань по вул. Соборна, 21 в м. Сквира на земельну ділянку орієнтовною площею 0,0750 га (за рахунок земель комунальної власності) по вул. Шолом-Алейхема (в р-ні Православної церкви)».</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7. Надання адміністративних послуг.</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робота Центру надання адміністративних послуг Сквирської міської ради (далі - ЦНАП) була спрямована на забезпечення надання швидких і якісних послуг по найбільш затребуваним напрямкам.</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повномасштабне вторгнення російської федерації на територію України Сквирська міська територіальна громада стала місцем прихистку для великої кількості внутрішньо переміщених осіб - за 2022 рік посадовими особами міської ради було прийнято 8884 заяви про надання статусу внутрішньо переміщеної особи та 7102 заяв на виплату допомоги на проживання внутрішньо переміщеним особам.</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2022 року працівниками ЦНАП надано 29854 адміністративних послуг, з яких 13787 адміністративних послуг соціального характеру, 10706 послуг, пов'язаних з державною реєстрацією нерухомого майна, 1593 послуг, пов'язаних з державною реєстрацією бізнесу та громадських формувань, 1366 у сфері державної реєстрації місця проживання, 792 послуги Державного земельного кадастру та 1610 послуг з питань будівництва, архітектури, земельних ресурсів та видачі документів дозвільного характеру.</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забезпечена можливість використовувати електронні копії паспортних документів, відображених у мобільному «Дія» за допомогою засобів інформаційної системи «Вулик» та QR-шерингу. Крім цього Сквирською міською радою придбані ноутбук Acer та два багатофункціональних пристрої Canon.</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виконкому Сквирської міської ради від 06 вересня 2022 року №4/21 затверджений перелік адміністративних послуг, які надаються через ЦНАП, в кількості 272 послуги, серед яких послуги Сквирської міської ради, відділу державного архітектурно-будівельного контролю, відділу містобудування та архітектури, служби  у справах дітей, відділу з питань земельних ресурсів та кадастру, державних реєстраторів та сектору ведення Реєстру територіальної громади, послуги Центрального міжрегіонального управління Міністерства юстиції (м. Київ), Головного управління Держгеокадастру у Київській області, Головного управління Державної служби надзвичайних ситуацій України у Київській області, Головного управління Держпродспоживслужби в Київській області, Київської обласної військової адміністрації тощо.</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надання максимальної кількості послуг у ЦНАП протягом 2022 року забезпечено підключення працівників ЦНАП до Державного земельного кадастру та інформаційної системи «Прихисток». Крім цього працівники ЦНАП підключені до інформаційної системи «Вулик», програмного комплексу «Соціальна громада»,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Реєстру територіальної громади,  Єдиної державної електронної системи у сфері будівництва та здійснюють надання адміністративних послуг за їх допомогою.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 Гуманітарна сфера.</w:t>
      </w: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Освіта. </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2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надання якісних послуг у галузі освіти та заохочення до навчання </w:t>
      </w:r>
      <w:r w:rsidDel="00000000" w:rsidR="00000000" w:rsidRPr="00000000">
        <w:rPr>
          <w:rFonts w:ascii="Times New Roman" w:cs="Times New Roman" w:eastAsia="Times New Roman" w:hAnsi="Times New Roman"/>
          <w:sz w:val="28"/>
          <w:szCs w:val="28"/>
          <w:rtl w:val="0"/>
        </w:rPr>
        <w:t xml:space="preserve">впродовж</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життя знаходиться серед пріоритетних напрямів роботи освітньої системи  Сквирської територіальної громади. Протягом 2022 року   основна увага була зосереджена  на підвищенні якості освіти, створенні безпечного освітнього середовища, формуванні спроможної та ефективної мережі закладів освіти з урахуванням процесу децентралізації, виконанні заходів з протипожежної безпеки, оновленні комп’ютерного обладнання у закладах освіти.</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У двох закладах (Кам’яногребельська початкова школа та Шапіївська початкова школа) немає набору дітей до 1-4 класів. Загальна кількість учнів 1-11 класів –  3302. До першого класу пішло 279 учнів. Дошкільною освітою  охоплено 796 дітей (у 6 закладах дошкільної освіти - 500 дітей, у 21 дошкільній групі на базі 17 навчально-виховних комплексів – 296 дітей). Відповідно до рішення сесії Сквирської міської ради з 01.09.2022 проведено реорганізацію Чубинецького навчально-виховного комплексу «заклад загальної середньої освіти І-ІІ ступенів – заклад дошкільної освіти» у Чубинецьку початкову школу. З 1 вересня 2022 року призупинено набір учнів до 10 класів у Сквирському закладі ЗЗСО №1, Оріховецькому НВК, Дулицькому НВК.</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бюджетних коштів проведено ремонт найпростіших укриттів  Сквирського ЗДО №6 «Ромашка» (229988,00 грн з міського бюджету), Сквирського академічного ліцею «Перспектива» (189977,00 грн за рахунок залишку коштів освітньої субвенції),  Сквирського академічного ліцею №2 (155 000,00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(70000 грн), спонсорські кошти та силами працівників закладів освіти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Сквирському академічному ліцеї, Шапіївській початковій школі, Сквирському ЗДО №2,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міської ради виділено додатково кошти (200000 грн) на продовження облаштування укриттів у Сквирському академічному ліцеї «Перспектива» та Сквирському ЗДО №6 «Ромашка».</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 решта (4)– за дистанційною.</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а також на базі Сквирського інклюзивно-ресурсного центру. Інклюзивних класів – 32 (42 учні), інклюзивних груп – 3 (5 дітей).</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Індивідуальним навчанням (педагогічним </w:t>
      </w:r>
      <w:r w:rsidDel="00000000" w:rsidR="00000000" w:rsidRPr="00000000">
        <w:rPr>
          <w:rFonts w:ascii="Times New Roman" w:cs="Times New Roman" w:eastAsia="Times New Roman" w:hAnsi="Times New Roman"/>
          <w:sz w:val="28"/>
          <w:szCs w:val="28"/>
          <w:rtl w:val="0"/>
        </w:rPr>
        <w:t xml:space="preserve">патронатом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охоплено 33 учнів.</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дошкільних закладів освіти працює Сквирський заклад дошкільної освіти №6 «Ромашка», Сквирський заклад дошкільної освіти №2 «Малятко», Сквирський заклад дошкільної освіти №1 «Світанок»,  працюють дошкільні групи Оріховецького НВК, Антонівського НВК, Буківського НВК, Шамраївського  НВК, Шапіївської початкової школи.</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підвезення учнів і педагогічних працівників до закладів освіти використано 12 шкільних автобусів. Усього підвезення потребує 373 учні.</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Графіки та маршрути руху змінено відповідно до форми навчання учнів, кількості змін та днів навчання. Відділом освіти розроблено 9 маршрутів шкільних автобусів.</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спонсорів, батьків організовано гаряче харчування для учнів пільгових категорій у Сквирському НВК №5, Антонівському НВК, Буківському НВК, Горобіївському НВК, Дулицькому НВК, Оріховецькому НВК, Рогізнянській початковій школі, Рудянській філії Шамраївського НВК, Самгородоцькому НВК, Чубинецькому НВК.</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грудня 2020 року у Сквирській громаді працює  Центр професійного розвитку педагогічних працівників. Консультанти Центру здійснюють організаційний та координаційний супровід проведення Олімпіад та Конкурсів. На базі Центру в онлайн форматі проводяться регіональні та обласні етапи Всеукраїнських учнівських олімпіад з навчальних предметів, Міжнародного мовно-літературного конкурсу учнівської та студентської молоді імені Тараса Шевченка, Міжнародного конкурсу знавців української мови імені Петра Яцика, Всеукраїнського конкурсу учнівської творчості «Об'єднаймося ж, брати мої!».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позашкільної освіти громади це освітня підсистема, що включає заклади позашкільної освіти, а саме Сквирський центр дитячої та юнацької творчості та Сквирську дитячо-юнацьку спортивну школу. Заклади позашкільної освіти працюють за змішаною формою навчання.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у Сквирському ЦДЮТ у 2022/2023 н.р. працюють 23 педагоги у 20 гуртках різних напрямів (82 групи).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2022/2023 навчальному році у закладі навчається 1231 вихованців за напрямами відповідно:</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художньо-естетичний – 43 групи, 555 учнів;</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гуманітарний – 1 група, 15 учнів;</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дослідницько-експериментальний – 9 груп, 52 учнів;</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науково-технічний – 23 групи, 294 учнів;</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туристсько-краєзнавчий – 10 груп, 150 учнів;</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еколого-натуралістичний – 3 групи, 45 учнів;</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фізкультурно-спортивний – 7 груп, 105 учнів;</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соціально-реабілітаційний – 1 група, 15 учнів.</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 38 гуртків, 97 груп, 1231 дітей, що становило 33 % від загальної кількості дітей в громаді. З них 134 дитини із сільської місцевості.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Гуртки, студії, творчі об’єднання працювали на базі 6 закладів загальної середньої освіти, у них 15 гуртків, 339 дітей. Також позашкільний заклад співпрацює з закладами вищої освіти, а саме: Білоцерківський національний аграрний університет, Білоцерківський інститут економіки та управління ВНЗ ВМУРоЛ «Україна», ДНЗ «Сквирське ВПУ», Сквирська дитячо-юнацька спортивна школа імені Воропая П.М.; Київський національний торговельно-економічний університет.</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із введенням 24 лютого 2022 року воєнного стану протягом навчального року керівники гуртків широко застосовують технології дистанційного навчання, використовуючи платформи ZOOM, Google meet.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Члени учнівського самоврядування та вихованці Сквирської ради дітей «Лідер» працюють за такими проєктами:</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«Правильний вибір професії - успішне майбутнє»;</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«Лідери з дитинства»;</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«Здорові люди люблять життя»:</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«Зробимо місто чистим»:</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«Ми патріоти твої, Україно».</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Вихованці виконували науково-дослідницькі роботи у 7 наукових відділеннях, 16 секціях. Найбільше робіт були написані у відділенні літературознавства, фольклористики та мистецтвознавства, відділенні хімії та біології.</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Систематична та цілеспрямована робота у науково-дослідницькому напрямі має високу результативність участі учнів-членів МАН у всіх трьох етапах Всеукраїнського конкурсу-захисту науково-дослідницьких робіт учнів-членів МАН України у 2021/2022 навчальному році.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учнів стали переможця ІІ етапу Всеукраїнського конкурсу-захисту науково-дослідницьких робіт учнів членів МАН України:</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 місце – 3 учні;</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 місце – 5 учнів;</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ІІІ місце – 6 учнів;</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учні стали переможця ІІІ (заключного) етапу конкурсу.</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з них: кількість дітей-сиріт – 3, із малозабезпечених сімей – 15, дітей, позбавлених батьківського піклування – 2, дітей з особливими освітніми потребами – 2, з багатодітних сімей – 35,  внутрішньо переміщених осіб – 20.</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навчального року ведеться  цілеспрямована та систематична робота з обдарованими дітьми. Для забезпечення якісної роботи керівників гуртків з цією категорією дітей у закладі передбачене індивідуальне навчання із здібними та обдарованими дітьми. Вихованці закладу є постійними учасниками регіональних, обласних, </w:t>
      </w:r>
      <w:r w:rsidDel="00000000" w:rsidR="00000000" w:rsidRPr="00000000">
        <w:rPr>
          <w:rFonts w:ascii="Times New Roman" w:cs="Times New Roman" w:eastAsia="Times New Roman" w:hAnsi="Times New Roman"/>
          <w:sz w:val="28"/>
          <w:szCs w:val="28"/>
          <w:rtl w:val="0"/>
        </w:rPr>
        <w:t xml:space="preserve">всеукраїнських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міжнародних заходів.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вихованці ДЮСШ взяли участь у змаганнях та спортивно-масових заходах, а саме: відкритій першості з боксу серед юнаків та дівчат 2005-2006, 2008-2009, 2010 р.н. у місті Києві, чемпіонаті Київської області з боксу серед юніорів 2006-2007 р.н. у місті Бровари, першості Сквирської ДЮСШ з тенісу настільного серед юнаків та дівчат, чемпіонаті України серед ДЮСШ та СДЮШОР з легкої атлетики у приміщенні серед юнаків та дівчат 2007-2008 р.н. у місті Києві, чемпіонаті міста Києва з гандболу пам'яті С. Перепеляка, Всеукраїнському турнірі з гандболу серед дівчат 2009-2010 р.н. пам'яті Олімпійської чемпіонки Людмили Панчук-Коломієць, навчально-тренувальних зборах з боксу із спеціальної фізичної підготовки до чемпіонату Європи серед юнаків та дівчат, смт. Ворохта (Івано-Франківська обл.), першості Сквирської ДЮСШ з велокросу серед учнів молодшої групи,  першості Сквирської ДЮСШ з гандболу серед вихованців 2011-2012 р.н. ("Літо на площадці"), першості Сквирської ДЮСШ з міні гандболу серед юнаків та дівчат 2011-2012 р.н., першості Сквирської ДЮСШ з легкоатлетичного двоборства до Дня Конституції України ("Разом до перемоги"), першості Сквирської ДЮСШ з легкоатлетичного чотириборства, першості Сквирської ДЮСШ з гандболу серед юнаків та дівчат старшої вікової групи, відкритої першості міста Біла Церква з легкої атлетики серед юнаків та дівчат до Дня фізичної культури та спорту, відкритої першості ДЮСШ Олімп міста Біла Церква з легкоатлетичного кросу, відкритої першості Сквирської ДЮСШ з легкоатлетичного чотириборства.</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всеохоплюючої і справедливої якісної освіти та заохочення до навчання </w:t>
      </w:r>
      <w:r w:rsidDel="00000000" w:rsidR="00000000" w:rsidRPr="00000000">
        <w:rPr>
          <w:rFonts w:ascii="Times New Roman" w:cs="Times New Roman" w:eastAsia="Times New Roman" w:hAnsi="Times New Roman"/>
          <w:sz w:val="28"/>
          <w:szCs w:val="28"/>
          <w:rtl w:val="0"/>
        </w:rPr>
        <w:t xml:space="preserve">впродовж</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життя у 2022 році заплановано виконання таких основних завдань та заходів:</w:t>
      </w:r>
    </w:p>
    <w:p w:rsidR="00000000" w:rsidDel="00000000" w:rsidP="00000000" w:rsidRDefault="00000000" w:rsidRPr="00000000" w14:paraId="000001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дітей дошкільного віку якісною дошкільною освітою відповідно до потреб</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впровадження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різноманітних форм дошкільної освіти;</w:t>
      </w:r>
    </w:p>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подальше формування спроможної та ефективної мережі закладів освіти з урахуванням процесу децентралізації; </w:t>
      </w:r>
    </w:p>
    <w:p w:rsidR="00000000" w:rsidDel="00000000" w:rsidP="00000000" w:rsidRDefault="00000000" w:rsidRPr="00000000" w14:paraId="000001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збереження здоров’я учнів шляхом участі в обласному проєкті «Якісне харчування – здорова дитина»;</w:t>
      </w:r>
    </w:p>
    <w:p w:rsidR="00000000" w:rsidDel="00000000" w:rsidP="00000000" w:rsidRDefault="00000000" w:rsidRPr="00000000" w14:paraId="000001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заходів з протипожежної безпеки;</w:t>
      </w:r>
    </w:p>
    <w:p w:rsidR="00000000" w:rsidDel="00000000" w:rsidP="00000000" w:rsidRDefault="00000000" w:rsidRPr="00000000" w14:paraId="000001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технологічного обладнання на харчоблоках;</w:t>
      </w:r>
    </w:p>
    <w:p w:rsidR="00000000" w:rsidDel="00000000" w:rsidP="00000000" w:rsidRDefault="00000000" w:rsidRPr="00000000" w14:paraId="000001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комп’ютерного обладнання у закладах освіти;</w:t>
      </w:r>
    </w:p>
    <w:p w:rsidR="00000000" w:rsidDel="00000000" w:rsidP="00000000" w:rsidRDefault="00000000" w:rsidRPr="00000000" w14:paraId="000001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дотримання натуральних норм харчування в дошкільних закладах освіти та в дошкільних групах НВК, за рахунок батьківських коштів та коштів місцевого бюджету;</w:t>
      </w:r>
    </w:p>
    <w:p w:rsidR="00000000" w:rsidDel="00000000" w:rsidP="00000000" w:rsidRDefault="00000000" w:rsidRPr="00000000" w14:paraId="000001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кваліфікації керівників і педагогічних працівників закладів дошкільної та загальної середньої освіти, забезпечення їх безперервного професійного розвитку та підготовка до роботи з дітьми з особливими освітніми потребами.</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8.2.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умовах воєнного стану медичні заклади працювали у штатному режимі і надавали цілодобову допомогу жителям Сквирщини.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Виконувались завдання та заходи, передбачені загальнодержавними та обласними програмами з питань охорони здоров’я, зокрема - завдання на період введення воєнного стану з організації надання медичної допомоги населенню. Був виконаний весь перелік завдань, передбачених до виконання на первинному рівні надання медичної допомоги за іншими напрямками діяльності.</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Продовжувалась робота щодо забезпечення якості та доступності первинної медичної допомоги населенню шляхом оновлення та реконструкції амбулаторій. Так АЗПСМ м. Сквира розпочала свою роботу в окремому приміщенні.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період введення воєнного стану підприємство співпрацює з громадськими організаціями та волонтерами, щодо забезпечення населення лікарськими препаратами та засобами особистої гігієни.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та затверджено міські Програми:</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Цільової Програми розвитку та фінансової підтримки Комунального некомерційного підприємства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Програми з інфекційного контролю та дотримання заходів із запобігання інфекціям, пов’язаним з наданням медичної допомоги Комунального некомерційного підприємства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протягом 2022 року на заклади охорони здоров’я витрачено 12 653,8 тис. гривень (енергоносії, заробітна плата з нарахуванням Пункту (відділення) невідкладної допомоги, ФП, ПЗ, ФАП).</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за кошти міського бюджету проведено капітальний ремонт протипожежної сигналізації поліклінічного відділення Сквирської ЦМЛ на суму 350426,66 грн та закуплено матеріали для ремонту укриття на суму 46918,47 гривень.</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поточні ремонти прибудинкової території педіатричного відділення, реанімаційного відділення, 2 поверху поліклінічного відділення, кабінетів спеціалістів поліклінічного відділення (власні кошти підприємства на закупівлю будівельних та господарських товарів). Проведено ІІ етап ремонту системи теплопостачання хірургічного корпусу (власні кошти підприємства - 130295,22 гривень). Також проведено закупівлю основних засобів довготривалого користування (медичне обладнання) на суму 341858 гривень. Проведено торги по закупівлі системи рентгенологічної стаціонарної (кошти НСЗУ). Згідно наказів ДОЗ та МОЗ підприємством отримано 2 рентгенологічні портативні системи.</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8.3.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Культура. </w:t>
      </w: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станом на 01.01.2023 року налічується 35 клубних закладів культури, 37 бібліотек,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закладів націлена 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створення умов для творчого розвитку особистості, підвищення культурного рівня, естетичного виховання громадян, доступності освіти у сфері культури для дітей та юнацтва, задоволення культурних потреб,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організації змістовного дозвілля населення громади, максимальн</w:t>
      </w:r>
      <w:r w:rsidDel="00000000" w:rsidR="00000000" w:rsidRPr="00000000">
        <w:rPr>
          <w:rFonts w:ascii="Times New Roman" w:cs="Times New Roman" w:eastAsia="Times New Roman" w:hAnsi="Times New Roman"/>
          <w:sz w:val="28"/>
          <w:szCs w:val="28"/>
          <w:rtl w:val="0"/>
        </w:rPr>
        <w:t xml:space="preserve">е охоплення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мистецькою освітою дітей та юнацтва, доступу до інформації та культурних цінностей. Закладами культури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та патріотичного виховання підростаючого покоління.</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культури діє Програма розвитку культури у Сквирській міській територіальній громаді на 2021-2025 роки, затверджена рішенням </w:t>
      </w:r>
      <w:r w:rsidDel="00000000" w:rsidR="00000000" w:rsidRPr="00000000">
        <w:rPr>
          <w:rFonts w:ascii="Times New Roman" w:cs="Times New Roman" w:eastAsia="Times New Roman" w:hAnsi="Times New Roman"/>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 22.12.2020 №18-3-VІІІ зі змінами, внесеними рішенням сесії від 23.11.2021 №36-15-VІІІ.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централізованій клубній мережі функціонували міський Будинок культури та 34 сільські клубні установи, в яких діяло 93 клубних формувань та клубів за інтересами. Одним із досягнень у галузі культури є те, що у громаді є 9 колективів, яким присвоєно звання «народний», цьогоріч три з них підтвердили звання та трьом присвоєно звання вперше.</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програми розвитку культури протягом звітного періоду працівниками закладів культури проведено традиційні фестивалі та конкурси: ХІ фольклорний фестиваль «Різдвяна зірка», міський фестиваль військово-патріотичної творчості «Пам'ять серця», дитячий фестиваль виконавців естрадної пісні «Перший крок», а також заходи з відзначення державних свят, знаменних та пам’ятних дат з історії України, тощо.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Творчі колективи Сквирщини гідно представляли край на обласному рівні та виборювали призові місця.</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в централізованій бібліотечній системі працювали Сквирська центральна міська бібліотека, центральна дитяча бібліотека та 35 бібліотек-філій. При центральній міській бібліотеці діяло літературне об’єднання «Сузір’я», центральній дитячій – клуб за інтересами «Бісером вишиваю, бісером плету», а також 11 клубів за інтересами різнобічного спрямування при сільських закладах. Відповідно до ініціативи Уповноваженого із захисту державної мови та підтримуючи загальноукраїнську кампанію сприяння опануванню державної мови, протягом поточного року при чотирьох сільських бібліотеках-філіях організовано і функціонують розмовні клуби української мови.</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Книжковий фонд по установах системи складає 191629 примірників видань, у поточному році надійшло і поставлено на сумарний та індивідуальний облік 131 примірників видань. З початку року послугами бібліотек скористалося 14274  мешканці.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поліпшення якості інформаційного обслуговування користувачів бібліотек працівниками міських бібліотечних установ на сторінках  у соціальних мережах ведуться рубрики «Цей день в історії» та «Історії сіл Сквирщини», тощо.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Бібліотечні заклади долучилася до участі в обласних конкурсах та марафонах, де виборювали призові місця, всеукраїнських акціях та проєктах.</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34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програми, організовуючи змістовне дозвілля жителів громади, за 2022 рік бібліотеками реалізовано заходи, які присвячені державним подіям, ювілейним датам знаних людей краю, питанням екології, популяризації книги і читання, звичаїв та традицій українського народу, родинних цінностей, здорового способу життя тощо. Разом з тим проведено щорічну літературну акцію «Читання з воїном» та щорічний літературний конкурс патріотичної поезії «Сильні духом, вільні серцем працюють поруч».</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у Сквирській дитячій школі мистецтв працювали відділи: фортепіанний, народних інструментів, струнний, духових та ударних інструментів, теоретичний, хореографічний, театральний, відділи образотворчого мистецтва та естрадного вокалу. Контингент школи становить 354 учні, охоплення учнів загальноосвітніх шкіл громади навчанням у школі мистецтв становить близько 10,83%. Школа мистецтв має чотири класи в селах: Кривошиїнці, Горобіївка, Пустоварівка, Тарасівка, де навчається 40 сільських учнів, з них 4  вихованці дитячого будинку «Надія» та 15 вихованців дитячого будинку сімейного типу родини Бондарів.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хореографічний дитячий колектив «Веселий сонях» підтвердив звання «зразковий», а дитячому вокальному ансамблю «Нотка» присвоєно звання «зразковий». В школі працює хор викладачів та тріо викладачів «Елегія». </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Вихованці школи стали призерами у  шкільних, місцевих, обласних, Всеукраїнських, Міжнародних фестивалях, конкурсах, приймали активну участь у мистецьких заходах.</w:t>
      </w:r>
    </w:p>
    <w:p w:rsidR="00000000" w:rsidDel="00000000" w:rsidP="00000000" w:rsidRDefault="00000000" w:rsidRPr="00000000" w14:paraId="00000162">
      <w:pPr>
        <w:widowControl w:val="0"/>
        <w:tabs>
          <w:tab w:val="left" w:leader="none" w:pos="851"/>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Робота Сквирського міського народного краєзнавчого музею орієнтована на відвідувачів різного покоління та спрямована на забезпечення збереження фондів музею та їх збільшення, організацію та проведення культурно-мистецьких заходів, дозвіллєвої діяльності, впровадження і реалізацію просвітницьких проектів та програм в музейній, туристичній галузях. Зокрема, завдяки різним виставкам та тематичним заходам музей формує у підростаючого покоління активну громадську позицію та національно-патріотичну свідомість.  </w:t>
      </w:r>
    </w:p>
    <w:p w:rsidR="00000000" w:rsidDel="00000000" w:rsidP="00000000" w:rsidRDefault="00000000" w:rsidRPr="00000000" w14:paraId="00000163">
      <w:pPr>
        <w:tabs>
          <w:tab w:val="left" w:leader="none" w:pos="5345"/>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2022 року, незважаючи на воєнний стан, Сквирський міський народний краєзнавчий музей відвідало понад 3700 осіб, кількість предметів основного фонду зросла на 98 одиниць і становить 3833 одиниці обліку, проведено 187 екскурсій, організовано 11 виставок, підготовлено 2 наукових видання. При музеї в літній період для дітей різного віку було організовано табір вихідного дня, під час новорічно-різдвяних свят відкрито резиденцію Святого Миколая. Продовжується розробка туристичних маршрутів по громаді. Одним із проблемних питань є відсутність окремого приміщення для Сквирського міського народного краєзнавчого музею.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8.4.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Фізична культура та спорт. </w:t>
      </w: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відділом культури, молоді і спорту основна увага приділялася </w:t>
      </w:r>
      <w:r w:rsidDel="00000000" w:rsidR="00000000" w:rsidRPr="00000000">
        <w:rPr>
          <w:rFonts w:ascii="Times New Roman" w:cs="Times New Roman" w:eastAsia="Times New Roman" w:hAnsi="Times New Roman"/>
          <w:sz w:val="28"/>
          <w:szCs w:val="28"/>
          <w:rtl w:val="0"/>
        </w:rPr>
        <w:t xml:space="preserve">вдосконаленню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системи організації і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3f3f3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фізичної культури та спорту сесією Сквирської міської ради діє «Програма розвитку фізичної культури і спорту на 2021-2025 роки у Сквирській міській територіальній громаді», затверджена рішенням сесії від 22.12.2020 № 19-3-VІІІ, зі змінами, внесеними рішенням від 23.11.2021 № 37-15-VIII. </w:t>
      </w: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01.01.2023 року у громаді нараховується така матеріально-технічна база: 1 стадіон, 23 спортивних залів (17 в сільській місцевості), 41 спортивних майданчиків (26 в сільській місцевості), 13 футбольних полів (12 в сільській місцевості), 17 гімнастичних містечок (11 в сільській місцевості), 11 приміщень для фізкультурних занять (4 в сільській місцевості), 2 з них – з тренажерним обладнанням та 4 спортивних майданчики зі штучним покриттям.</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з початку року відділом організовано та проведено спортивні заходи різного рівня:</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нагоди Дня Конституції України:</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велосипедного спорту на шосе серед чоловіків, жінок, юнаків та дівчат;</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Легкоатлетичний крос серед учнівської молоді;</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Турнір з гандболу серед молоді.</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Щорічний патріотичний забіг легкої атлетики в пам’ять про загиблих воїнів.</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Турнір з футболу на Кубок Сквирської міської голови.</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Урочистості з нагоди Дня фізичної культури і спорту.</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Турнір з футболу присвячений пам’яті Почесного працівника фізичної культури і спорту України Л. Х. Шварцбурга.</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8.5.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Молодіжна політика та національно-патріотичне виховання.</w:t>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 метою створення умов для повноцінної самореалізації молоді, інтеграції молоді до світової та європейської молодіжної спільноти, на громадських засадах при Сквирській міській раді діяла молодіжна рада Сквирської міської територіальної громади. На засіданні молодіжної ради від 25.08.2022 оновлено персональний склад ради та обрано нового голову. Рішенням виконавчого комітету Сквирської міської ради від 06.09.2022 № 8/21 внесено зміни до персонального складу молодіжн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територіальної громади. </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ішенням Сквирської міської ради від 29.04.2021 №11-7-VIII затверджено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«Молодь Сквирської міської територіальної громади» на 2021-2025 роки»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у підростаючого покоління активної громадянської позиції та національно-патріотичної свідомості, закладами культури проведено щорічну літературну акцію «Читання з воїном», цикл заходів: «Афганська війна: погляд через роки…», «Шануймо пам’ять Героїв Майдану», «Добровольці – воїни світла», «Не загасити пам’яті вогонь», «І зупинилось серце молоде, щоб вічно билось серце України», години мужності, години вшанування воїнів АТО/ООС, відбувся щорічний літературний конкурс патріотичної поезії «Сильні духом, вільні серцем працюють поруч», міський фестиваль військово-патріотичної творчості «Пам'ять серця».</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закладах культури проводилися патріотичні та історичні години, зустрічі, тематичні виставки, години спілкування, конкурси, акції, підготовлено огляди літератури.</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rdcrjn" w:id="11"/>
      <w:bookmarkEnd w:id="1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 Охорона навколишнього природного середовища.</w:t>
      </w: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22.12.2020 №15-3-VІІІ затверджена Програма забезпечення збору, вивезення та захоронення твердих відходів у Сквирській міській територіальній громаді на 2021-2025 роки, на фінансування якої в бюджеті Сквирської міської територіальної громади на 2022 рік передбачені кошти в сумі сумі 1520,0 тис.  грн, в тому числі на збір та перевезення ТПВ з місць загального користування територіальної громади  1150 тис. гривень. </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в рамках  Програми забезпечення збору, вивезення та захоронення твердих відходів  зібрано та перевезено  з вулиць міста 6382 куб. м сміття з місць загального користування при запланованих 6000 м. куб.</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23.12.2021 №44-17-VІІІ затверджена Програма природоохоронних заходів  Сквирської міської територіальної громади на 2022-2025 роки,</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якої в бюджеті Сквирської міської територіальної громади передбачені кошти в сумі 85,4 тис. гривень. За звітний період фінансування не здійснювалось.</w:t>
      </w: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6in1rg" w:id="12"/>
      <w:bookmarkEnd w: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громаді діє Програма заходів по організації благоустрою Сквирської міської територіальної громади на 2022-2026 роки, затверджена рішенням Сквирської міської ради від 23.12.2021 №08-17-VІІІ. На реалізацію заходів програми на 2022 рік передбачені кошти в сумі 8900,0 тис. гривень. Фактично за 2022 рік профінансовано на виконання заходів Програми 8116,6 тис. гривень.</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введення з 24 лютого 2022 року воєнного стану, заходи по організації благоустрою проводяться в повному обсязі.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 березні-квітні 2022 року було організовано проведення акції «За чисте довкілля», в рамках якої  проводиться благоустрій територій та ліквідація стихійних сміттєзвалищ.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розпорядження Сквирської міської голови була  організована робота по приведенню </w:t>
      </w:r>
      <w:r w:rsidDel="00000000" w:rsidR="00000000" w:rsidRPr="00000000">
        <w:rPr>
          <w:rFonts w:ascii="Times New Roman" w:cs="Times New Roman" w:eastAsia="Times New Roman" w:hAnsi="Times New Roman"/>
          <w:sz w:val="28"/>
          <w:szCs w:val="28"/>
          <w:rtl w:val="0"/>
        </w:rPr>
        <w:t xml:space="preserve">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належний стан вулиць та провулків населених пунктів громади,  територій підприємств, установ та організацій, прибудинкових територій житлового фонду, індивідуальних господарств громадян, берегів річок, пришляхових лісових смуг, зупинок громадського транспорту, обрізку дерев та кущів тощо.</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двомісячника благоустрою та акцій «За чисте довкілля», які проводились весною та </w:t>
      </w:r>
      <w:r w:rsidDel="00000000" w:rsidR="00000000" w:rsidRPr="00000000">
        <w:rPr>
          <w:rFonts w:ascii="Times New Roman" w:cs="Times New Roman" w:eastAsia="Times New Roman" w:hAnsi="Times New Roman"/>
          <w:sz w:val="28"/>
          <w:szCs w:val="28"/>
          <w:rtl w:val="0"/>
        </w:rPr>
        <w:t xml:space="preserve">восени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впорядковано території парків, скверів, дитячих та спортивних майданчиків. Здійснено благоустрій Меморіалу Слави, пам’ятників та братських могил, всіх кладовищ в населених пунктах громади. Прибрано території підприємств, установ та організацій.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Приведено в належний естетичний вигляд клумби та газони. Побілено стовбури дерев на центральних вулицях міста, сільських населених пунктів та на територіях підприємств, установ, організацій. Комунальне підприємство «Сквираблагоустрій» провело кронування та санітарну обрізку  аварійно-небезпечних дерев та кущів.</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проведено акцію «Сади перемоги», в якій приймали участь жителі громади. Висаджено 4 (чотири) тисячі фруктових саджанців.</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покладених завдань, інспектором  з благоустрою комунального підприємства «Сквираблагоустрій» проведено роботу щодо дотримання Закону України «Про благоустрій населених пунктів»,  Правил благоустрою на території Сквирської МТГ юридичними та фізичними особами:</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направлено 125 попереджень щодо приведення у належний стан території, яка перебуває у власності або орендована з урахуванням передбаченими  законом меж;</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результатами перевірок звернень від громадян складено 15 актів обстеження;</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виконання рішення Сквирської міської ради щодо благоустрою територій  до проведення двомісячників благоустрою вручено 420 пам’яток про благоустрій жителям та суб’єктам господарської діяльності всіх форм власності;</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складі комісії проводились обстеження зелених насаджень в кількості 725 штук, які включені в акт видалення або кронування;</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підставі рішення виконавчого комітету Сквирської міської ради  виписано та вручено 39 ордерів про видалення або кронування  аварійних, проблемних дерев.</w:t>
      </w: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попереджень та відсутності адекватних кроків по усуненню виявлених недоліків направлено 1 протокол на розгляд адміністративної комісії Сквирської міської ради. </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Постійно здійснюється профілактично-роз’яснювальна робота з жителями Сквирської  міської територіальної громади щодо запобігання порушень законодавства в сфері благоустрою населених пунктів, про необхідність укладення договорів на вивезення твердих побутових відходів (сміття) зі своїх дворів, а також необхідність впорядкувати прилеглі до житлових будинків та земельних ділянок. </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 Цивільний захист населення. Профілактика та протидія злочинності.</w:t>
      </w: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особлива увага приділялася на заходи, які спрямовані на захист населення та територій громади в мирний час та в особливий період у сфері цивільного захисту.</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цією метою Сквирсько</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бул</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затверджен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цільова програма захисту населення і територій від надзвичайних ситуацій техногенного та природного характеру, забезпечення пожежної безпеки на 2022-2025 роки». </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виконавчого комітету затверджено:</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реагування на надзвичайні ситуації, що можуть виникнути на території Сквирської міської територіальної громади, який включає в себе план евакуації населення та план реагування на особливий період.</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Порядок створення та використання матеріального резерву для запобігання та ліквідації наслідків надзвичайних ситуацій та використання в особливий період, надання допомоги постраждалому населенню в Сквирській міській територіальній громаді.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сума виділених у 2022 році коштів на його формування становить 1 791380 грн.</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і доведено до населення алгоритм дій в разі:</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артобстрілу та бомбардування; </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радіаційної небезпеки; </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небезпечного чи підозрілого предмета; </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вибухонебезпечних предметів. </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Білоцерківського РУ</w:t>
      </w:r>
      <w:r w:rsidDel="00000000" w:rsidR="00000000" w:rsidRPr="00000000">
        <w:rPr>
          <w:rFonts w:ascii="Times New Roman" w:cs="Times New Roman" w:eastAsia="Times New Roman" w:hAnsi="Times New Roman"/>
          <w:sz w:val="28"/>
          <w:szCs w:val="28"/>
          <w:rtl w:val="0"/>
        </w:rPr>
        <w:t xml:space="preserve"> НПУ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фонду захисних споруд цивільного захисту неодноразово було проведено обстеження укриттів громади, зокрема – 7 протирадіаційних укриттів, з яких  1 готове, 5 обмежено готові, 1 не готове до використання. Також обстеж</w:t>
      </w:r>
      <w:r w:rsidDel="00000000" w:rsidR="00000000" w:rsidRPr="00000000">
        <w:rPr>
          <w:rFonts w:ascii="Times New Roman" w:cs="Times New Roman" w:eastAsia="Times New Roman" w:hAnsi="Times New Roman"/>
          <w:sz w:val="28"/>
          <w:szCs w:val="28"/>
          <w:rtl w:val="0"/>
        </w:rPr>
        <w:t xml:space="preserve">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20 підвальних приміщень для використання їх як найпростіших укриттів, 17 з яких взято на облік та зареєстровано в книзі обліку споруд подвійного призначення та найпростіших укриттів.</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за рахунок бюджетних коштів проведено облаштування та ремонт найпростіших укриттів на загальну суму 1190652,34 грн. (у підвальних приміщеннях відремонтовано електрообладнання, облаштовано внутрішні вбиральні, відновлено водопостачання, встановлено рекуператор повітря, замінено двері тощо).</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зв’язку з початком функціонування Добровольчого формування №1 Сквирської міської територіальної громади (далі ДФ№1СМТГ), було прийнято 408 заяв добровольців про зарахування до добровольчого формування та сформовані їхні особові справи, видано 54 довідки про членство в ДФ№1СМТГ, прийнято 85 заяв про вихід з формування та розірвання контракту добровольця. Також видано 372 посвідчення добровольця ДФ№1СМТГ.</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відкрила благодійний рахунок для переказу коштів на потреби ДФТГ. Всього з 31 березня по 31 грудня 2022 року на благодійний рахунок надійшло 459 651,53 гривень (одноденний заробіток від працівників Сквирської міської ради та бюджетної сфери, благодійні внески від громадян). Станом на 01 січня 2023 року залишок коштів становить - 25 658,90 гривень.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них було придбано:</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костюм літній польовий 83 шт. на суму 49 800 грн;</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морозильна скриня Ardesko на FRM3000MCH 2 шт. на суму 18 200 грн;</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Asp-Micro TM160 1 шт. на суму 17 292, 50 грн;</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AGM Taipan TM10-256 (тепловізор) 1 шт. на суму 31 707,50 грн;</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 3 шт. на суму 7 500 грн;</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UV-6D 10 шт. на суму 22 000 грн;</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матеріали та електромонтажне обладнання на суму 149 892,63 грн;</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акумулятори Genesis 4 шт. на суму 23600 грн;</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камуфляжні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зимові костюми - 114 000,00 гривень.</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велику увагу приділяла забезпеченню безпечної життєдіяльності  та ефективної реалізації державної політики у сфері профілактики правопорушень, зокрема:</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у 2022 році відповідно до Програми «Поліцейський офіцер громади» на 2022-2023 роки виділено кошти на придбання службового автомобіля для поліцейського офіцера громади в сумі 610000 гривень. Також, відповідно до Програми Сквирської міської ради з профілактики злочинності на 2021-2023 роки з місцевого бюджету виділено кошти в сумі 99920,78 гривень на придбання пального для автомобілів Сквирського відділу поліції.</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відділу економічно-інвестиційної діяльності </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агропромислового розвитку </w:t>
      </w:r>
      <w:r w:rsidDel="00000000" w:rsidR="00000000" w:rsidRPr="00000000">
        <w:rPr>
          <w:rFonts w:ascii="Times New Roman" w:cs="Times New Roman" w:eastAsia="Times New Roman" w:hAnsi="Times New Roman"/>
          <w:b w:val="1"/>
          <w:sz w:val="28"/>
          <w:szCs w:val="28"/>
          <w:rtl w:val="0"/>
        </w:rPr>
        <w:t xml:space="preserve">міської ради</w:t>
        <w:tab/>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Оксана СУСЛОВА</w:t>
      </w:r>
      <w:r w:rsidDel="00000000" w:rsidR="00000000" w:rsidRPr="00000000">
        <w:rPr>
          <w:rtl w:val="0"/>
        </w:rPr>
      </w:r>
    </w:p>
    <w:sectPr>
      <w:headerReference r:id="rId7" w:type="default"/>
      <w:headerReference r:id="rId8" w:type="even"/>
      <w:pgSz w:h="16838" w:w="11906" w:orient="portrait"/>
      <w:pgMar w:bottom="550.9842519685049" w:top="425.1968503937008"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Arial"/>
  <w:font w:name="Courier New"/>
  <w:font w:name="Antiqua"/>
  <w:font w:name="Time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3"/>
      <w:numFmt w:val="bullet"/>
      <w:lvlText w:val="-"/>
      <w:lvlJc w:val="left"/>
      <w:pPr>
        <w:ind w:left="1647" w:hanging="360"/>
      </w:pPr>
      <w:rPr>
        <w:rFonts w:ascii="Times New Roman" w:cs="Times New Roman" w:eastAsia="Times New Roman" w:hAnsi="Times New Roman"/>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5">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18"/>
        <w:szCs w:val="18"/>
        <w:lang w:val="ru-R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Знак">
    <w:name w:val="Знак"/>
    <w:basedOn w:val="Обычный"/>
    <w:next w:val="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Основнойтекстсотступом,Подписькрис.,Ïîäïèñüêðèñ.">
    <w:name w:val="Основной текст с отступом,Подпись к рис.,Ïîäïèñü ê ðèñ."/>
    <w:basedOn w:val="Обычный"/>
    <w:next w:val="Основнойтекстсотступом,Подписькрис.,Ïîäïèñüêðèñ."/>
    <w:autoRedefine w:val="0"/>
    <w:hidden w:val="0"/>
    <w:qFormat w:val="0"/>
    <w:pPr>
      <w:suppressAutoHyphens w:val="1"/>
      <w:overflowPunct w:val="1"/>
      <w:autoSpaceDE w:val="1"/>
      <w:autoSpaceDN w:val="1"/>
      <w:adjustRightInd w:val="1"/>
      <w:spacing w:line="1" w:lineRule="atLeast"/>
      <w:ind w:leftChars="-1" w:rightChars="0" w:firstLine="708" w:firstLineChars="-1"/>
      <w:jc w:val="both"/>
      <w:textDirection w:val="btLr"/>
      <w:textAlignment w:val="auto"/>
      <w:outlineLvl w:val="0"/>
    </w:pPr>
    <w:rPr>
      <w:rFonts w:ascii="Times New Roman" w:hAnsi="Times New Roman"/>
      <w:w w:val="100"/>
      <w:position w:val="-1"/>
      <w:sz w:val="28"/>
      <w:effect w:val="none"/>
      <w:vertAlign w:val="baseline"/>
      <w:cs w:val="0"/>
      <w:em w:val="none"/>
      <w:lang w:bidi="ar-SA" w:eastAsia="und" w:val="uk-UA"/>
    </w:rPr>
  </w:style>
  <w:style w:type="character" w:styleId="ОсновнойтекстсотступомЗнак,Подписькрис.Знак,Ïîäïèñüêðèñ.Знак">
    <w:name w:val="Основной текст с отступом Знак,Подпись к рис. Знак,Ïîäïèñü ê ðèñ. Знак"/>
    <w:next w:val="ОсновнойтекстсотступомЗнак,Подписькрис.Знак,Ïîäïèñüêðèñ.Знак"/>
    <w:autoRedefine w:val="0"/>
    <w:hidden w:val="0"/>
    <w:qFormat w:val="0"/>
    <w:rPr>
      <w:w w:val="100"/>
      <w:position w:val="-1"/>
      <w:sz w:val="28"/>
      <w:effect w:val="none"/>
      <w:vertAlign w:val="baseline"/>
      <w:cs w:val="0"/>
      <w:em w:val="none"/>
      <w:lang w:val="uk-UA"/>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suppressAutoHyphens w:val="1"/>
      <w:overflowPunct w:val="1"/>
      <w:autoSpaceDE w:val="1"/>
      <w:autoSpaceDN w:val="1"/>
      <w:adjustRightInd w:val="1"/>
      <w:spacing w:line="1" w:lineRule="atLeast"/>
      <w:ind w:leftChars="-1" w:rightChars="0" w:firstLine="720" w:firstLineChars="-1"/>
      <w:jc w:val="both"/>
      <w:textDirection w:val="btLr"/>
      <w:textAlignment w:val="auto"/>
      <w:outlineLvl w:val="0"/>
    </w:pPr>
    <w:rPr>
      <w:rFonts w:ascii="Times New Roman" w:hAnsi="Times New Roman"/>
      <w:w w:val="100"/>
      <w:position w:val="-1"/>
      <w:sz w:val="28"/>
      <w:effect w:val="none"/>
      <w:vertAlign w:val="baseline"/>
      <w:cs w:val="0"/>
      <w:em w:val="none"/>
      <w:lang w:bidi="ar-SA" w:eastAsia="und" w:val="uk-UA"/>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8"/>
      <w:effect w:val="none"/>
      <w:vertAlign w:val="baseline"/>
      <w:cs w:val="0"/>
      <w:em w:val="none"/>
      <w:lang w:val="uk-UA"/>
    </w:rPr>
  </w:style>
  <w:style w:type="paragraph" w:styleId="Текствыноски">
    <w:name w:val="Текст выноски"/>
    <w:basedOn w:val="Обычный"/>
    <w:next w:val="Текствыноски"/>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ahoma" w:hAnsi="Tahoma"/>
      <w:w w:val="100"/>
      <w:position w:val="-1"/>
      <w:sz w:val="16"/>
      <w:szCs w:val="16"/>
      <w:effect w:val="none"/>
      <w:vertAlign w:val="baseline"/>
      <w:cs w:val="0"/>
      <w:em w:val="none"/>
      <w:lang w:bidi="ar-SA" w:eastAsia="und" w:val="hr-HR"/>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val="hr-HR"/>
    </w:rPr>
  </w:style>
  <w:style w:type="paragraph" w:styleId="ListParagraph">
    <w:name w:val="List Paragraph"/>
    <w:basedOn w:val="Обычный"/>
    <w:next w:val="ListParagraph"/>
    <w:autoRedefine w:val="0"/>
    <w:hidden w:val="0"/>
    <w:qFormat w:val="0"/>
    <w:pPr>
      <w:suppressAutoHyphens w:val="1"/>
      <w:overflowPunct w:val="1"/>
      <w:autoSpaceDE w:val="1"/>
      <w:autoSpaceDN w:val="1"/>
      <w:adjustRightInd w:val="1"/>
      <w:spacing w:after="200" w:line="276" w:lineRule="auto"/>
      <w:ind w:left="720" w:leftChars="-1" w:rightChars="0" w:firstLineChars="-1"/>
      <w:contextualSpacing w:val="1"/>
      <w:textDirection w:val="btLr"/>
      <w:textAlignment w:val="auto"/>
      <w:outlineLvl w:val="0"/>
    </w:pPr>
    <w:rPr>
      <w:rFonts w:ascii="Calibri" w:hAnsi="Calibri"/>
      <w:w w:val="100"/>
      <w:position w:val="-1"/>
      <w:sz w:val="22"/>
      <w:szCs w:val="22"/>
      <w:effect w:val="none"/>
      <w:vertAlign w:val="baseline"/>
      <w:cs w:val="0"/>
      <w:em w:val="none"/>
      <w:lang w:bidi="ar-SA" w:eastAsia="en-US" w:val="uk-UA"/>
    </w:rPr>
  </w:style>
  <w:style w:type="paragraph" w:styleId="Нормальнийтекст">
    <w:name w:val="Нормальний текст"/>
    <w:basedOn w:val="Обычный"/>
    <w:next w:val="Нормальнийтекст"/>
    <w:autoRedefine w:val="0"/>
    <w:hidden w:val="0"/>
    <w:qFormat w:val="0"/>
    <w:pPr>
      <w:suppressAutoHyphens w:val="1"/>
      <w:overflowPunct w:val="1"/>
      <w:autoSpaceDE w:val="1"/>
      <w:autoSpaceDN w:val="1"/>
      <w:adjustRightInd w:val="1"/>
      <w:spacing w:before="120" w:line="1" w:lineRule="atLeast"/>
      <w:ind w:leftChars="-1" w:rightChars="0" w:firstLine="567" w:firstLineChars="-1"/>
      <w:textDirection w:val="btLr"/>
      <w:textAlignment w:val="auto"/>
      <w:outlineLvl w:val="0"/>
    </w:pPr>
    <w:rPr>
      <w:rFonts w:ascii="Antiqua" w:hAnsi="Antiqua"/>
      <w:w w:val="100"/>
      <w:position w:val="-1"/>
      <w:sz w:val="26"/>
      <w:effect w:val="none"/>
      <w:vertAlign w:val="baseline"/>
      <w:cs w:val="0"/>
      <w:em w:val="none"/>
      <w:lang w:bidi="ar-SA" w:eastAsia="ru-RU" w:val="uk-UA"/>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НижнийколонтитулЗнак">
    <w:name w:val="Нижний колонтитул Знак"/>
    <w:next w:val="НижнийколонтитулЗнак"/>
    <w:autoRedefine w:val="0"/>
    <w:hidden w:val="0"/>
    <w:qFormat w:val="0"/>
    <w:rPr>
      <w:rFonts w:ascii="Antiqua" w:hAnsi="Antiqua"/>
      <w:w w:val="100"/>
      <w:position w:val="-1"/>
      <w:sz w:val="28"/>
      <w:effect w:val="none"/>
      <w:vertAlign w:val="baseline"/>
      <w:cs w:val="0"/>
      <w:em w:val="none"/>
      <w:lang w:val="hr-HR"/>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effect w:val="none"/>
      <w:vertAlign w:val="baseline"/>
      <w:cs w:val="0"/>
      <w:em w:val="none"/>
      <w:lang w:bidi="ar-SA" w:eastAsia="ru-RU" w:val="ru-RU"/>
    </w:rPr>
  </w:style>
  <w:style w:type="paragraph" w:styleId="Безінтервалів">
    <w:name w:val="Без інтервалів"/>
    <w:next w:val="Безінтервалів"/>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character" w:styleId="БезинтервалаЗнак">
    <w:name w:val="Без интервала Знак"/>
    <w:next w:val="БезинтервалаЗнак"/>
    <w:autoRedefine w:val="0"/>
    <w:hidden w:val="0"/>
    <w:qFormat w:val="0"/>
    <w:rPr>
      <w:w w:val="100"/>
      <w:position w:val="-1"/>
      <w:sz w:val="22"/>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Обычный(Web),Знак1Знак,Знак1ЗнакЗнак,Знак1ЗнакЗнакЗнакЗнакЗнакЗнакЗнак,Обычный(Web)ЗнакЗнакЗнакЗнакЗнакЗнак,Обычный(веб)Знак2,Обычный(веб)Знак1Знак,Обычный(веб)Знак2Знак1Знак,Обычный(Интернет)1">
    <w:name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Интернет)1"/>
    <w:basedOn w:val="Обычный"/>
    <w:next w:val="Обычный(веб),Обычный(веб)Знак1ЗнакЗнакЗнак,Обычный(веб)ЗнакЗнакЗнакЗнакЗнак,Обычный(Web)ЗнакЗнакЗнакЗнакЗнак"/>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4"/>
      <w:szCs w:val="24"/>
      <w:effect w:val="none"/>
      <w:vertAlign w:val="baseline"/>
      <w:cs w:val="0"/>
      <w:em w:val="none"/>
      <w:lang w:bidi="ar-SA" w:eastAsia="ru-RU" w:val="ru-RU"/>
    </w:rPr>
  </w:style>
  <w:style w:type="paragraph" w:styleId="Обычный(веб),Обычный(веб)Знак1ЗнакЗнакЗнак,Обычный(веб)ЗнакЗнакЗнакЗнакЗнак,Обычный(Web)ЗнакЗнакЗнакЗнакЗнак">
    <w:name w:val="Обычный (веб),Обычный (веб) Знак1 Знак Знак Знак,Обычный (веб) Знак Знак Знак Знак Знак,Обычный (Web) Знак Знак Знак Знак Знак"/>
    <w:basedOn w:val="Обычный"/>
    <w:next w:val="Обычный(веб),Обычный(веб)Знак1ЗнакЗнакЗнак,Обычный(веб)ЗнакЗнакЗнакЗнакЗнак,Обычный(Web)ЗнакЗнакЗнакЗнакЗнак"/>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imes New Roman" w:hAnsi="Times New Roman"/>
      <w:w w:val="100"/>
      <w:position w:val="-1"/>
      <w:sz w:val="24"/>
      <w:szCs w:val="24"/>
      <w:effect w:val="none"/>
      <w:vertAlign w:val="baseline"/>
      <w:cs w:val="0"/>
      <w:em w:val="none"/>
      <w:lang w:bidi="ar-SA" w:eastAsia="ru-RU" w:val="hr-HR"/>
    </w:rPr>
  </w:style>
  <w:style w:type="character" w:styleId="Основнийтекст(2)_">
    <w:name w:val="Основний текст (2)_"/>
    <w:next w:val="Основнийтекст(2)_"/>
    <w:autoRedefine w:val="0"/>
    <w:hidden w:val="0"/>
    <w:qFormat w:val="0"/>
    <w:rPr>
      <w:w w:val="100"/>
      <w:position w:val="-1"/>
      <w:effect w:val="none"/>
      <w:shd w:color="auto" w:fill="ffffff" w:val="clear"/>
      <w:vertAlign w:val="baseline"/>
      <w:cs w:val="0"/>
      <w:em w:val="none"/>
      <w:lang/>
    </w:rPr>
  </w:style>
  <w:style w:type="paragraph" w:styleId="Основнийтекст(2)1">
    <w:name w:val="Основний текст (2)1"/>
    <w:basedOn w:val="Обычный"/>
    <w:next w:val="Основнийтекст(2)1"/>
    <w:autoRedefine w:val="0"/>
    <w:hidden w:val="0"/>
    <w:qFormat w:val="0"/>
    <w:pPr>
      <w:widowControl w:val="0"/>
      <w:shd w:color="auto" w:fill="ffffff" w:val="clear"/>
      <w:suppressAutoHyphens w:val="1"/>
      <w:overflowPunct w:val="1"/>
      <w:autoSpaceDE w:val="1"/>
      <w:autoSpaceDN w:val="1"/>
      <w:adjustRightInd w:val="1"/>
      <w:spacing w:after="180" w:line="322" w:lineRule="atLeast"/>
      <w:ind w:leftChars="-1" w:rightChars="0" w:firstLineChars="-1"/>
      <w:textDirection w:val="btLr"/>
      <w:textAlignment w:val="auto"/>
      <w:outlineLvl w:val="0"/>
    </w:pPr>
    <w:rPr>
      <w:rFonts w:ascii="Times New Roman" w:hAnsi="Times New Roman"/>
      <w:w w:val="100"/>
      <w:position w:val="-1"/>
      <w:sz w:val="20"/>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overflowPunct w:val="1"/>
      <w:autoSpaceDE w:val="1"/>
      <w:autoSpaceDN w:val="1"/>
      <w:adjustRightInd w:val="1"/>
      <w:spacing w:after="200" w:line="276" w:lineRule="auto"/>
      <w:ind w:left="720" w:leftChars="-1" w:rightChars="0" w:firstLineChars="-1"/>
      <w:contextualSpacing w:val="1"/>
      <w:textDirection w:val="btLr"/>
      <w:textAlignment w:val="auto"/>
      <w:outlineLvl w:val="0"/>
    </w:pPr>
    <w:rPr>
      <w:rFonts w:ascii="Calibri" w:hAnsi="Calibri"/>
      <w:w w:val="100"/>
      <w:position w:val="-1"/>
      <w:sz w:val="22"/>
      <w:szCs w:val="22"/>
      <w:effect w:val="none"/>
      <w:vertAlign w:val="baseline"/>
      <w:cs w:val="0"/>
      <w:em w:val="none"/>
      <w:lang w:bidi="ar-SA" w:eastAsia="ru-RU" w:val="ru-RU"/>
    </w:rPr>
  </w:style>
  <w:style w:type="character" w:styleId="АбзацспискаЗнак">
    <w:name w:val="Абзац списка Знак"/>
    <w:next w:val="АбзацспискаЗнак"/>
    <w:autoRedefine w:val="0"/>
    <w:hidden w:val="0"/>
    <w:qFormat w:val="0"/>
    <w:rPr>
      <w:rFonts w:ascii="Calibri" w:hAnsi="Calibri"/>
      <w:w w:val="100"/>
      <w:position w:val="-1"/>
      <w:sz w:val="22"/>
      <w:szCs w:val="22"/>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w w:val="100"/>
      <w:position w:val="-1"/>
      <w:sz w:val="24"/>
      <w:szCs w:val="24"/>
      <w:effect w:val="none"/>
      <w:vertAlign w:val="baseline"/>
      <w:cs w:val="0"/>
      <w:em w:val="none"/>
      <w:lang w:val="hr-HR"/>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бычный1">
    <w:name w:val="Обычный1"/>
    <w:next w:val="Обычный1"/>
    <w:autoRedefine w:val="0"/>
    <w:hidden w:val="0"/>
    <w:qFormat w:val="0"/>
    <w:pPr>
      <w:widowControl w:val="0"/>
      <w:suppressAutoHyphens w:val="1"/>
      <w:spacing w:before="240" w:line="1" w:lineRule="atLeast"/>
      <w:ind w:leftChars="-1" w:rightChars="0" w:firstLine="8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ru-RU" w:val="uk-UA"/>
    </w:rPr>
  </w:style>
  <w:style w:type="character" w:styleId="docdata,docy,v5,2455,baiaagaaboqcaaad0acaaaxebwaaaaaaaaaaaaaaaaaaaaaaaaaaaaaaaaaaaaaaaaaaaaaaaaaaaaaaaaaaaaaaaaaaaaaaaaaaaaaaaaaaaaaaaaaaaaaaaaaaaaaaaaaaaaaaaaaaaaaaaaaaaaaaaaaaaaaaaaaaaaaaaaaaaaaaaaaaaaaaaaaaaaaaaaaaaaaaaaaaaaaaaaaaaaaaaaaaaaaaaaaaaaaa">
    <w:name w:val="docdata,docy,v5,2455,baiaagaaboqcaaad0acaaaxebwaaaaaaaaaaaaaaaaaaaaaaaaaaaaaaaaaaaaaaaaaaaaaaaaaaaaaaaaaaaaaaaaaaaaaaaaaaaaaaaaaaaaaaaaaaaaaaaaaaaaaaaaaaaaaaaaaaaaaaaaaaaaaaaaaaaaaaaaaaaaaaaaaaaaaaaaaaaaaaaaaaaaaaaaaaaaaaaaaaaaaaaaaaaaaaaaaaaaaaaaaaaaaa"/>
    <w:next w:val="docdata,docy,v5,2455,baiaagaaboqcaaad0acaaaxebwaaaaaaaaaaaaaaaaaaaaaaaaaaaaaaaaaaaaaaaaaaaaaaaaaaaaaaaaaaaaaaaaaaaaaaaaaaaaaaaaaaaaaaaaaaaaaaaaaaaaaaaaaaaaaaaaaaaaaaaaaaaaaaaaaaaaaaaaaaaaaaaaaaaaaaaaaaaaaaaaaaaaaaaaaaaaaaaaaaaaaaaaaaaaaaaaaaaaaaaaaaaaaa"/>
    <w:autoRedefine w:val="0"/>
    <w:hidden w:val="0"/>
    <w:qFormat w:val="0"/>
    <w:rPr>
      <w:w w:val="100"/>
      <w:position w:val="-1"/>
      <w:effect w:val="none"/>
      <w:vertAlign w:val="baseline"/>
      <w:cs w:val="0"/>
      <w:em w:val="none"/>
      <w:lang/>
    </w:rPr>
  </w:style>
  <w:style w:type="character" w:styleId="apple-tab-span">
    <w:name w:val="apple-tab-span"/>
    <w:next w:val="apple-tab-span"/>
    <w:autoRedefine w:val="0"/>
    <w:hidden w:val="0"/>
    <w:qFormat w:val="0"/>
    <w:rPr>
      <w:w w:val="100"/>
      <w:position w:val="-1"/>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overflowPunct w:val="0"/>
      <w:autoSpaceDE w:val="0"/>
      <w:autoSpaceDN w:val="0"/>
      <w:adjustRightInd w:val="0"/>
      <w:spacing w:after="120"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ОсновнойтекстЗнак">
    <w:name w:val="Основной текст Знак"/>
    <w:next w:val="ОсновнойтекстЗнак"/>
    <w:autoRedefine w:val="0"/>
    <w:hidden w:val="0"/>
    <w:qFormat w:val="0"/>
    <w:rPr>
      <w:rFonts w:ascii="Antiqua" w:hAnsi="Antiqua"/>
      <w:w w:val="100"/>
      <w:position w:val="-1"/>
      <w:sz w:val="28"/>
      <w:effect w:val="none"/>
      <w:vertAlign w:val="baseline"/>
      <w:cs w:val="0"/>
      <w:em w:val="none"/>
      <w:lang w:val="hr-HR"/>
    </w:rPr>
  </w:style>
  <w:style w:type="paragraph" w:styleId="Normal">
    <w:name w:val="Normal"/>
    <w:next w:val="Normal"/>
    <w:autoRedefine w:val="0"/>
    <w:hidden w:val="0"/>
    <w:qFormat w:val="0"/>
    <w:pPr>
      <w:suppressAutoHyphens w:val="1"/>
      <w:spacing w:line="1" w:lineRule="atLeast"/>
      <w:ind w:leftChars="-1" w:rightChars="0" w:firstLineChars="-1"/>
      <w:jc w:val="both"/>
      <w:textDirection w:val="btLr"/>
      <w:textAlignment w:val="top"/>
      <w:outlineLvl w:val="0"/>
    </w:pPr>
    <w:rPr>
      <w:rFonts w:ascii="Times" w:hAnsi="Times"/>
      <w:snapToGrid w:val="0"/>
      <w:w w:val="100"/>
      <w:position w:val="-1"/>
      <w:sz w:val="18"/>
      <w:effect w:val="none"/>
      <w:vertAlign w:val="baseline"/>
      <w:cs w:val="0"/>
      <w:em w:val="none"/>
      <w:lang w:bidi="ar-SA" w:eastAsia="ru-RU" w:val="ru-RU"/>
    </w:rPr>
  </w:style>
  <w:style w:type="character" w:styleId="gridtext">
    <w:name w:val="gridtext"/>
    <w:next w:val="gridtext"/>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OAOMsbsjHmTt9T/0/Q2RYYpbwA==">AMUW2mU6a5wlbldxfzQYDdB13JwxYO6rWRr2x2f/MDP1sPtqQCb7g0TpF77PoE8WACq6cvhTQ5Od50n27u0bjdqjzHv1ya8yS7hRIehR8i7ttDN8i4LwlAXuLp+zEjS89XVNs648A/MD/x96myqbcAGC2Vpl4KhN59RVapeFOu41HYjyHIQ/QkBqaVkKJfqlqq1d4RHCFaa3YuPVMYhlt8lbwcCOyVbxeWpwqAVhZqAX5VtwLyL7RR7aI5Yl6fNOpKX2uNgv52kp93SDVc0NTx9FbhAlFzJjLyGnObZLMDe/k5GZbxoy3u6ymLq89cNMJQpaATAvGx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2023-02-17T08:56:00Z</dcterms:created>
  <dc:creator>oem2</dc:creator>
</cp:coreProperties>
</file>