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18 травня 2022 року              м. Сквир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№14-22-VIII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97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нежитлове приміщення (котельні) загальною площею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62,8  кв. м по вул.Сквирська,87В в с.Кривошиїнці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1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8 трав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ня 2022 року №-22-VIII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нежитлове приміщення (котельні), загальною площею 62,8 кв. м за адресою: вул.Сквирська,87В в с.Кривошиїнці Білоцерківського району Київської області.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Міський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536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рішення сесії Сквирської міської ради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18 травня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2022 року 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котельні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вул.Богачевського,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 код ЄДРПОУ 44018352, вул.Богачевського, буд.70,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Заболотний О.В., тел. (04568) 5-36-05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skviravo@ukr.net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вул.Богачевського, буд.70, м.Сквира, Білоцерківський район, Київська область У робочі дні з 8.00 до 17.00, обідня перерва з 13.00 до 14.00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об’єкта – 8000,00грн., залишкова балансова вартість – 0 грн.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років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62,8 кв. м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62,8 кв. м 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 з надземним розташуванням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надання послуг з теплопостачання закладам освіти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капітального будівництва, 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</w:t>
        <w:tab/>
        <w:t xml:space="preserve">         Наталя КАПІТАНЮК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2" w:top="0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sBLXnU2Pg9UI+o3GyS6vP6pJOQ==">AMUW2mWRmdMCVHhRLfWanVZciyFMqhU5LpkYveMh5VhPAOedzuOZnCVB/GKYekwHjPPr5qAtqqFmaw0ZZnn6qfaLuM6lOfQZRMfxS9O3VOMuqvyehPVFwBk=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