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240" w:lineRule="auto"/>
        <w:ind w:right="-2"/>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spacing w:after="0" w:line="240" w:lineRule="auto"/>
        <w:ind w:right="-2"/>
        <w:jc w:val="center"/>
        <w:rPr>
          <w:rFonts w:ascii="Times New Roman" w:cs="Times New Roman" w:eastAsia="Times New Roman" w:hAnsi="Times New Roman"/>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34514970" ProgID="PBrush" ShapeID="_x0000_s1028" Type="Embed"/>
        </w:pict>
      </w:r>
    </w:p>
    <w:p w:rsidR="00000000" w:rsidDel="00000000" w:rsidP="00000000" w:rsidRDefault="00000000" w:rsidRPr="00000000" w14:paraId="00000004">
      <w:pPr>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6">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7">
      <w:pPr>
        <w:tabs>
          <w:tab w:val="left" w:leader="none" w:pos="4680"/>
        </w:tabs>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tabs>
          <w:tab w:val="left" w:leader="none" w:pos="4680"/>
        </w:tabs>
        <w:spacing w:after="0" w:line="240" w:lineRule="auto"/>
        <w:ind w:left="0" w:right="-2"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9">
      <w:pPr>
        <w:numPr>
          <w:ilvl w:val="0"/>
          <w:numId w:val="1"/>
        </w:numPr>
        <w:spacing w:after="0" w:line="240" w:lineRule="auto"/>
        <w:ind w:left="0" w:right="-2"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A">
      <w:pPr>
        <w:numPr>
          <w:ilvl w:val="0"/>
          <w:numId w:val="1"/>
        </w:numPr>
        <w:spacing w:after="0" w:line="360" w:lineRule="auto"/>
        <w:ind w:left="0" w:right="-2"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 року                         м. Сквира                                   №    -    -VIII</w:t>
      </w:r>
    </w:p>
    <w:p w:rsidR="00000000" w:rsidDel="00000000" w:rsidP="00000000" w:rsidRDefault="00000000" w:rsidRPr="00000000" w14:paraId="0000000C">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Сквирської міської ради </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14 липня 2021 року №156-9-VIII</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Про затвердження проекту землеустрою щодо відведення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земельної ділянки в користування на умовах оренди </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ПрАТ «Київобленерго та передачу земельної ділянки </w:t>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в оренду площею 0,1122 га</w:t>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Приватному акціонерному товариству </w:t>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«ДТЕК Київські регіональні мережі» </w:t>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по вул. Пролетарська, 2 в с. Антонів Київської області</w:t>
      </w:r>
      <w:r w:rsidDel="00000000" w:rsidR="00000000" w:rsidRPr="00000000">
        <w:rPr>
          <w:rFonts w:ascii="Times New Roman" w:cs="Times New Roman" w:eastAsia="Times New Roman" w:hAnsi="Times New Roman"/>
          <w:b w:val="1"/>
          <w:color w:val="000000"/>
          <w:sz w:val="28"/>
          <w:szCs w:val="28"/>
          <w:rtl w:val="0"/>
        </w:rPr>
        <w:t xml:space="preserve">»</w:t>
      </w:r>
    </w:p>
    <w:p w:rsidR="00000000" w:rsidDel="00000000" w:rsidP="00000000" w:rsidRDefault="00000000" w:rsidRPr="00000000" w14:paraId="00000016">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начальника відділу з питань земельних ресурсів та кадастру, рішення Сквирської міської ради від 14 липня 2021 року №156-9-VIII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мережі» по вул. Пролетарська, 2 в с. Антонів Київської області»,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керуючись ст.ст. 12, 83 Земельного кодексу України, п.34 ст.26 Закону України  «Про місцеве самоврядування в Україні», Сквирська міська рада VIII скликання</w:t>
      </w:r>
    </w:p>
    <w:p w:rsidR="00000000" w:rsidDel="00000000" w:rsidP="00000000" w:rsidRDefault="00000000" w:rsidRPr="00000000" w14:paraId="00000018">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ВИРІШИЛА:</w:t>
      </w:r>
    </w:p>
    <w:p w:rsidR="00000000" w:rsidDel="00000000" w:rsidP="00000000" w:rsidRDefault="00000000" w:rsidRPr="00000000" w14:paraId="0000001A">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Внести зміни до рішення Сквирської міської ради від 14 липня 2021 року №156-9-VIII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w:t>
      </w:r>
      <w:r w:rsidDel="00000000" w:rsidR="00000000" w:rsidRPr="00000000">
        <w:rPr>
          <w:rtl w:val="0"/>
        </w:rPr>
        <w:t xml:space="preserve"> </w:t>
      </w:r>
      <w:r w:rsidDel="00000000" w:rsidR="00000000" w:rsidRPr="00000000">
        <w:rPr>
          <w:rFonts w:ascii="Times New Roman" w:cs="Times New Roman" w:eastAsia="Times New Roman" w:hAnsi="Times New Roman"/>
          <w:color w:val="000000"/>
          <w:sz w:val="28"/>
          <w:szCs w:val="28"/>
          <w:rtl w:val="0"/>
        </w:rPr>
        <w:t xml:space="preserve">площею 0,1122 га Приватному акціонерному товариству «ДТЕК Київські регіональні мережі» по вул. Пролетарська, 2 в с. Антонів Київської області» у зв’язку з виявленою технічною помилкою, а саме:</w:t>
      </w:r>
    </w:p>
    <w:p w:rsidR="00000000" w:rsidDel="00000000" w:rsidP="00000000" w:rsidRDefault="00000000" w:rsidRPr="00000000" w14:paraId="0000001C">
      <w:pPr>
        <w:shd w:fill="ffffff" w:val="clear"/>
        <w:spacing w:after="0" w:line="240" w:lineRule="auto"/>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 в пункті 2 змінити «кадастровий номер 3224080300:01:047:0003» на «кадастровий номер 3224080301:01:047:0003»;</w:t>
      </w:r>
    </w:p>
    <w:p w:rsidR="00000000" w:rsidDel="00000000" w:rsidP="00000000" w:rsidRDefault="00000000" w:rsidRPr="00000000" w14:paraId="0000001D">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пункт 3 викласти в наступній редакції: «3. Встановити річну орендну плату за орендовану земельну ділянку в розмірі 12% від нормативної грошової оцінки.»</w:t>
      </w:r>
    </w:p>
    <w:p w:rsidR="00000000" w:rsidDel="00000000" w:rsidP="00000000" w:rsidRDefault="00000000" w:rsidRPr="00000000" w14:paraId="0000001E">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F">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5">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numPr>
          <w:ilvl w:val="0"/>
          <w:numId w:val="1"/>
        </w:numPr>
        <w:shd w:fill="ffffff" w:val="clear"/>
        <w:spacing w:after="0" w:line="240" w:lineRule="auto"/>
        <w:ind w:left="0" w:right="-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B">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w:t>
      </w:r>
    </w:p>
    <w:p w:rsidR="00000000" w:rsidDel="00000000" w:rsidP="00000000" w:rsidRDefault="00000000" w:rsidRPr="00000000" w14:paraId="0000002C">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з питань юридичного </w:t>
      </w:r>
    </w:p>
    <w:p w:rsidR="00000000" w:rsidDel="00000000" w:rsidP="00000000" w:rsidRDefault="00000000" w:rsidRPr="00000000" w14:paraId="0000002F">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30">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32">
      <w:pPr>
        <w:numPr>
          <w:ilvl w:val="0"/>
          <w:numId w:val="1"/>
        </w:numP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з питань </w:t>
      </w:r>
    </w:p>
    <w:p w:rsidR="00000000" w:rsidDel="00000000" w:rsidP="00000000" w:rsidRDefault="00000000" w:rsidRPr="00000000" w14:paraId="00000035">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8">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спеціаліст відділу з питань </w:t>
      </w:r>
    </w:p>
    <w:p w:rsidR="00000000" w:rsidDel="00000000" w:rsidP="00000000" w:rsidRDefault="00000000" w:rsidRPr="00000000" w14:paraId="00000039">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ab/>
        <w:tab/>
        <w:t xml:space="preserve"> Людмила ОСКІЛКО</w:t>
      </w:r>
    </w:p>
    <w:p w:rsidR="00000000" w:rsidDel="00000000" w:rsidP="00000000" w:rsidRDefault="00000000" w:rsidRPr="00000000" w14:paraId="0000003A">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w:t>
      </w:r>
    </w:p>
    <w:p w:rsidR="00000000" w:rsidDel="00000000" w:rsidP="00000000" w:rsidRDefault="00000000" w:rsidRPr="00000000" w14:paraId="0000003C">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D">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E">
      <w:pPr>
        <w:numPr>
          <w:ilvl w:val="0"/>
          <w:numId w:val="1"/>
        </w:numPr>
        <w:shd w:fill="ffffff" w:val="clear"/>
        <w:tabs>
          <w:tab w:val="left" w:leader="none" w:pos="8205"/>
        </w:tabs>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F">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40">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41">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aYKkAy8HTEhUdvwyk2Qfi1851Q==">AMUW2mXfQQPnXxW7xl9rcmJau9TwVNU0beOJElqMv0cytZQPYgX1/+ixvBRJHc76YyfCODlhoQ5E9lL+Kzupp5ss8CCHxEpLqm3Pp5nYTSVQg/1muNhW7X5xpK2ybRGN98diHkyXSyM7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2023-01-06T10:42:00Z</dcterms:created>
  <dc:creator>User</dc:creator>
</cp:coreProperties>
</file>