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/>
        <w:drawing>
          <wp:inline distB="0" distT="0" distL="0" distR="0">
            <wp:extent cx="447675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ind w:left="1" w:hanging="3"/>
        <w:rPr>
          <w:b w:val="1"/>
          <w:sz w:val="36"/>
          <w:szCs w:val="36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________ 2023 року                   м. Сквира                         №__________VIII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711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10"/>
        <w:tblGridChange w:id="0">
          <w:tblGrid>
            <w:gridCol w:w="711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Про надання дозволу на передачу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 Сквирської міської ради (код ЄДРПОУ 44153671) на баланс Сквирської міської ради (код ЄДРПОУ 04054961)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</w:t>
      </w:r>
      <w:r w:rsidDel="00000000" w:rsidR="00000000" w:rsidRPr="00000000">
        <w:rPr>
          <w:sz w:val="28"/>
          <w:szCs w:val="28"/>
          <w:rtl w:val="0"/>
        </w:rPr>
        <w:t xml:space="preserve">положення про відділ капітального будівництва, комунальної власності та житлово-комунального господарства Сквирської міської ради, затвердженого рішенням Сквирської міської ради від 22.12.2020 №27-3-VIII,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Надати дозвіл на передачу комунального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Сквирської міської ради  (код ЄДРПОУ 44153671)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баланс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(код ЄДРПОУ 04054961) згідно з додатком до цього рішення.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Начальниці відділу капітального будівництва, комунальної власності  та житлово-комунального господарства Сквирської міської ради та начальниці </w:t>
      </w:r>
      <w:r w:rsidDel="00000000" w:rsidR="00000000" w:rsidRPr="00000000">
        <w:rPr>
          <w:sz w:val="28"/>
          <w:szCs w:val="28"/>
          <w:rtl w:val="0"/>
        </w:rPr>
        <w:t xml:space="preserve">фінансово-господарського відділу Сквирської міської ради Адамчук Л.Ю.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56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фінансово-господарського відділу Сквирської міської ради Адамчук Л.Ю. після затвердження акту приймання-передачі майна вжити заходів щодо обліку майна, зарахувати майно на баланс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1" w:hanging="3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color w:val="000000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1" w:hanging="3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1" w:hanging="3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 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1" w:hanging="3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ind w:left="1" w:hanging="3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    Ірина КВАША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фінансово-господарського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ind w:left="1" w:hanging="3"/>
        <w:jc w:val="both"/>
        <w:rPr>
          <w:color w:val="000000"/>
        </w:rPr>
      </w:pPr>
      <w:r w:rsidDel="00000000" w:rsidR="00000000" w:rsidRPr="00000000">
        <w:rPr>
          <w:sz w:val="28"/>
          <w:szCs w:val="28"/>
          <w:rtl w:val="0"/>
        </w:rPr>
        <w:t xml:space="preserve">відділу Сквирської міської ради                                      Леонора АДАМЧУК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  Наталя КАПІТАНЮК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6663"/>
        </w:tabs>
        <w:spacing w:after="240" w:before="240" w:lineRule="auto"/>
        <w:ind w:firstLine="0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E">
      <w:pPr>
        <w:tabs>
          <w:tab w:val="left" w:leader="none" w:pos="6663"/>
        </w:tabs>
        <w:spacing w:after="240" w:before="240" w:lineRule="auto"/>
        <w:ind w:firstLine="0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проєкту рішення «Про надання дозволу на передачу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 Сквирської міської ради (код ЄДРПОУ 44153671) на баланс Сквирської міської ради   </w:t>
        <w:tab/>
        <w:t xml:space="preserve"> (код ЄДРПОУ 04054961)»</w:t>
      </w:r>
    </w:p>
    <w:p w:rsidR="00000000" w:rsidDel="00000000" w:rsidP="00000000" w:rsidRDefault="00000000" w:rsidRPr="00000000" w14:paraId="0000003F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 Обгрунтування необхідності прийняття рішення</w:t>
      </w:r>
    </w:p>
    <w:p w:rsidR="00000000" w:rsidDel="00000000" w:rsidP="00000000" w:rsidRDefault="00000000" w:rsidRPr="00000000" w14:paraId="00000040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На балансі відділу капітального будівництва, комунальної власності та житлово-комунального господарства Сквирської міської ради перебувають нежитлові будівлі по вул.Центральна, 17а в с.Самгородок та вул.Миру,5 в с.Чубинці, до яких підключено електропостачання. У відділі капітального будівництва, комунальної власності та житлово-комунального господарства Сквирської міської ради відсутні бюджетні призначення на утримання нерухомого майна, а договір про надання послуг з розподілу та постачання електричної енергії до зазначених будівель з ДТЕК «Київські регіональні електромережі» укладений Сквирською міською радою. Тому є потреба в передачі будівель на баланс міської ради.  </w:t>
      </w:r>
    </w:p>
    <w:p w:rsidR="00000000" w:rsidDel="00000000" w:rsidP="00000000" w:rsidRDefault="00000000" w:rsidRPr="00000000" w14:paraId="00000041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2. Мета і шляхи її досягнення</w:t>
      </w:r>
    </w:p>
    <w:p w:rsidR="00000000" w:rsidDel="00000000" w:rsidP="00000000" w:rsidRDefault="00000000" w:rsidRPr="00000000" w14:paraId="00000042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Метою прийняття рішення є надання дозволу на передачу комунального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Сквирської міської ради  (код ЄДРПОУ 44153671),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на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баланс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Сквирської міської ради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(код ЄДРПОУ 04054961)</w:t>
      </w:r>
    </w:p>
    <w:p w:rsidR="00000000" w:rsidDel="00000000" w:rsidP="00000000" w:rsidRDefault="00000000" w:rsidRPr="00000000" w14:paraId="00000043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3. Правові аспекти</w:t>
      </w:r>
    </w:p>
    <w:p w:rsidR="00000000" w:rsidDel="00000000" w:rsidP="00000000" w:rsidRDefault="00000000" w:rsidRPr="00000000" w14:paraId="00000044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Правовою підставою для розроблення проєкту рішення є закони України “Про місцеве самоврядування в Україні”, «Про передачу об’єктів права державної та комунальної власності», Господарський кодекс України.</w:t>
      </w:r>
    </w:p>
    <w:p w:rsidR="00000000" w:rsidDel="00000000" w:rsidP="00000000" w:rsidRDefault="00000000" w:rsidRPr="00000000" w14:paraId="00000045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4. Фінансово-економічне обгрунтування</w:t>
      </w:r>
    </w:p>
    <w:p w:rsidR="00000000" w:rsidDel="00000000" w:rsidP="00000000" w:rsidRDefault="00000000" w:rsidRPr="00000000" w14:paraId="00000046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Забезпечення ефективного використання комунального майна Сквирської міської територіальної громади.</w:t>
      </w:r>
    </w:p>
    <w:p w:rsidR="00000000" w:rsidDel="00000000" w:rsidP="00000000" w:rsidRDefault="00000000" w:rsidRPr="00000000" w14:paraId="00000047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5. Позиція зацікавлених органів</w:t>
      </w:r>
    </w:p>
    <w:p w:rsidR="00000000" w:rsidDel="00000000" w:rsidP="00000000" w:rsidRDefault="00000000" w:rsidRPr="00000000" w14:paraId="00000048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Проект рішення не викликає заперечень зі сторони відділу капітального будівництва, комунальної власності та житлово-комунального господарства Сквирської міської ради  та фінансово-господарського відділу Сквирської міської ради.</w:t>
      </w:r>
    </w:p>
    <w:p w:rsidR="00000000" w:rsidDel="00000000" w:rsidP="00000000" w:rsidRDefault="00000000" w:rsidRPr="00000000" w14:paraId="00000049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6. Прогноз результатів</w:t>
      </w:r>
    </w:p>
    <w:p w:rsidR="00000000" w:rsidDel="00000000" w:rsidP="00000000" w:rsidRDefault="00000000" w:rsidRPr="00000000" w14:paraId="0000004A">
      <w:pPr>
        <w:tabs>
          <w:tab w:val="left" w:leader="none" w:pos="6663"/>
        </w:tabs>
        <w:spacing w:after="240" w:before="240" w:lineRule="auto"/>
        <w:ind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Комунальне майно буде поставлено на баланс Сквирської міської ради з призначенням відповідального за його збереженням.</w:t>
      </w:r>
    </w:p>
    <w:p w:rsidR="00000000" w:rsidDel="00000000" w:rsidP="00000000" w:rsidRDefault="00000000" w:rsidRPr="00000000" w14:paraId="0000004B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 </w:t>
      </w:r>
      <w:r w:rsidDel="00000000" w:rsidR="00000000" w:rsidRPr="00000000">
        <w:rPr>
          <w:b w:val="1"/>
          <w:sz w:val="26"/>
          <w:szCs w:val="26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4C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D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житлово-комунального господарства</w:t>
      </w:r>
    </w:p>
    <w:p w:rsidR="00000000" w:rsidDel="00000000" w:rsidP="00000000" w:rsidRDefault="00000000" w:rsidRPr="00000000" w14:paraId="0000004E">
      <w:pPr>
        <w:tabs>
          <w:tab w:val="left" w:leader="none" w:pos="6663"/>
        </w:tabs>
        <w:spacing w:after="240" w:before="240" w:lineRule="auto"/>
        <w:ind w:firstLine="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Сквирської міської ради                                          </w:t>
        <w:tab/>
        <w:t xml:space="preserve"> </w:t>
        <w:tab/>
        <w:t xml:space="preserve">  Марина ТЕРНОВА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  <w:sectPr>
          <w:pgSz w:h="16838" w:w="11906" w:orient="portrait"/>
          <w:pgMar w:bottom="709" w:top="1134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від </w:t>
      </w:r>
      <w:r w:rsidDel="00000000" w:rsidR="00000000" w:rsidRPr="00000000">
        <w:rPr>
          <w:b w:val="1"/>
          <w:rtl w:val="0"/>
        </w:rPr>
        <w:t xml:space="preserve">_________ </w:t>
      </w:r>
      <w:r w:rsidDel="00000000" w:rsidR="00000000" w:rsidRPr="00000000">
        <w:rPr>
          <w:b w:val="1"/>
          <w:color w:val="000000"/>
          <w:rtl w:val="0"/>
        </w:rPr>
        <w:t xml:space="preserve">№</w:t>
      </w:r>
      <w:r w:rsidDel="00000000" w:rsidR="00000000" w:rsidRPr="00000000">
        <w:rPr>
          <w:b w:val="1"/>
          <w:rtl w:val="0"/>
        </w:rPr>
        <w:t xml:space="preserve">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відділу капітального будівництва, комунальної власності та житлово-комунального господарства Сквирської міської ради  на баланс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3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2689"/>
        <w:gridCol w:w="1134"/>
        <w:gridCol w:w="2409"/>
        <w:gridCol w:w="2268"/>
        <w:gridCol w:w="1417"/>
        <w:gridCol w:w="1276"/>
        <w:gridCol w:w="1560"/>
        <w:gridCol w:w="1123"/>
        <w:tblGridChange w:id="0">
          <w:tblGrid>
            <w:gridCol w:w="567"/>
            <w:gridCol w:w="2689"/>
            <w:gridCol w:w="1134"/>
            <w:gridCol w:w="2409"/>
            <w:gridCol w:w="2268"/>
            <w:gridCol w:w="1417"/>
            <w:gridCol w:w="1276"/>
            <w:gridCol w:w="1560"/>
            <w:gridCol w:w="11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введ. в експлуатацію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Наявність/ відсутність правовстановлюючих документів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Балансова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Залишкова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Нежитлова будівля з господарською спорудою (сарай)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1976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Технічний паспорт, витяг з Державного реєстру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571431,54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472261,54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99170,0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Конвектор 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2003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2765,00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2765,00</w:t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Електролічильник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2010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220,00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220,00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Лічильник газу 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2017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вул.Центральна, 17а с.Самгородок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3200,00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3200,00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0" w:hanging="2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Нежитлова будівля з господарськими спорудами  (сарай, вбиральня)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1986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вул.Миру, 5, с.Чубинці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Технічний паспорт, витяг з Державного реєстру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66403,94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66403,94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Секретар міської ради                                                                                                                             Тетяна  ВЛАСЮК</w:t>
      </w: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680" w:left="1276" w:right="709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ru-RU" w:val="ru-RU"/>
    </w:rPr>
  </w:style>
  <w:style w:type="paragraph" w:styleId="1">
    <w:name w:val="heading 1"/>
    <w:basedOn w:val="a"/>
    <w:next w:val="a"/>
    <w:uiPriority w:val="9"/>
    <w:qFormat w:val="1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4" w:customStyle="1">
    <w:name w:val="Шрифт абзацу за промовчанням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10" w:customStyle="1">
    <w:name w:val="Заголовок 1 Знак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5">
    <w:name w:val="List Paragraph"/>
    <w:basedOn w:val="a"/>
    <w:pPr>
      <w:ind w:left="720"/>
      <w:contextualSpacing w:val="1"/>
    </w:pPr>
  </w:style>
  <w:style w:type="paragraph" w:styleId="a6">
    <w:name w:val="header"/>
    <w:basedOn w:val="a"/>
  </w:style>
  <w:style w:type="character" w:styleId="a7" w:customStyle="1">
    <w:name w:val="Верх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</w:style>
  <w:style w:type="character" w:styleId="a9" w:customStyle="1">
    <w:name w:val="Ниж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Tahoma" w:hAnsi="Tahoma"/>
      <w:sz w:val="16"/>
      <w:szCs w:val="16"/>
    </w:rPr>
  </w:style>
  <w:style w:type="character" w:styleId="ab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Body Text"/>
    <w:basedOn w:val="a"/>
    <w:rPr>
      <w:lang w:val="uk-UA"/>
    </w:rPr>
  </w:style>
  <w:style w:type="character" w:styleId="ad" w:customStyle="1">
    <w:name w:val="Основни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character" w:styleId="21" w:customStyle="1">
    <w:name w:val="Основний текст з від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rmal (Web)"/>
    <w:basedOn w:val="a"/>
    <w:pPr>
      <w:spacing w:after="100" w:afterAutospacing="1" w:before="100" w:beforeAutospacing="1"/>
    </w:pPr>
  </w:style>
  <w:style w:type="paragraph" w:styleId="af">
    <w:name w:val="No Spacing"/>
    <w:uiPriority w:val="1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ru-RU" w:val="ru-RU"/>
    </w:rPr>
  </w:style>
  <w:style w:type="character" w:styleId="FontStyle15" w:customStyle="1">
    <w:name w:val="Font Style15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a"/>
    <w:next w:val="a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af0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a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lHKQRbvHDaQUfUGfsgIh4e5qGg==">AMUW2mXdB/Ccx853D4X9FWeihgF2ekAezin5vENiO9er21zDoTNvUV6qIIRwQy0HV2S4MkS4TDhGxwlapBhb8d+u7DMb5Gz45wlgIxgGo9yLOiS2DiSW6XJXXLZhWPQQdYgTlBOoz2eEpZtuRJQxN5gHMXaUJnYb5/ek329a3vwLX3EXtqH3AqM=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