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965"/>
        </w:tabs>
        <w:spacing w:after="0" w:before="0" w:line="240" w:lineRule="auto"/>
        <w:ind w:left="0" w:right="0" w:firstLine="0"/>
        <w:jc w:val="left"/>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448310" cy="609600"/>
            <wp:effectExtent b="0" l="0" r="0" t="0"/>
            <wp:docPr id="102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831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ПРОЄКТ Р І Ш Е Н Н Я</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28 лютого 2023 року           м. Сквира                         №  30-VIII</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внесення змін до рішення сесії Сквирської </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міської ради від 30.09.2021р №45-12-VIII </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Програми природоохоронних </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заходів Сквирської міської територіальної громади </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2021-2025 роки в новій редакції»</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реалізації експериментального проекту щодо створення сприятливих умов для забезпечення ефективного споживання електричної енергії населенням, керуючись пунктом 5 Постанови Кабінету Міністрів України від 10.01.2023 №25 «Про реалізацію експериментального проекту щодо створення сприятливих умов для забезпечення ефективного споживання електричної енергії населенням», статтями 30,51 Закону України «Про місцеве самоврядування в Україні», Законом України «Про охорону навколишнього природного середовища»,враховуючи протокольне доручення засідання оперативного штабу Ради оборони Київської області від 16.01.2023 №183,  Сквирськ</w:t>
      </w:r>
      <w:r w:rsidDel="00000000" w:rsidR="00000000" w:rsidRPr="00000000">
        <w:rPr>
          <w:rFonts w:ascii="Times New Roman" w:cs="Times New Roman" w:eastAsia="Times New Roman" w:hAnsi="Times New Roman"/>
          <w:sz w:val="28"/>
          <w:szCs w:val="28"/>
          <w:rtl w:val="0"/>
        </w:rPr>
        <w:t xml:space="preserve">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w:t>
      </w:r>
      <w:r w:rsidDel="00000000" w:rsidR="00000000" w:rsidRPr="00000000">
        <w:rPr>
          <w:rFonts w:ascii="Times New Roman" w:cs="Times New Roman" w:eastAsia="Times New Roman" w:hAnsi="Times New Roman"/>
          <w:sz w:val="28"/>
          <w:szCs w:val="28"/>
          <w:rtl w:val="0"/>
        </w:rPr>
        <w:t xml:space="preserve">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рад</w:t>
      </w:r>
      <w:r w:rsidDel="00000000" w:rsidR="00000000" w:rsidRPr="00000000">
        <w:rPr>
          <w:rFonts w:ascii="Times New Roman" w:cs="Times New Roman" w:eastAsia="Times New Roman" w:hAnsi="Times New Roman"/>
          <w:sz w:val="28"/>
          <w:szCs w:val="28"/>
          <w:rtl w:val="0"/>
        </w:rPr>
        <w:t xml:space="preserve">а VIII скликання</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ВИРІШИ</w:t>
      </w:r>
      <w:r w:rsidDel="00000000" w:rsidR="00000000" w:rsidRPr="00000000">
        <w:rPr>
          <w:rFonts w:ascii="Times New Roman" w:cs="Times New Roman" w:eastAsia="Times New Roman" w:hAnsi="Times New Roman"/>
          <w:b w:val="1"/>
          <w:sz w:val="28"/>
          <w:szCs w:val="28"/>
          <w:rtl w:val="0"/>
        </w:rPr>
        <w:t xml:space="preserve">ЛА</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Внести зміни до рішення сесії Сквирської міської ради від 30.09.2021р № 45-12-VIII «Про затвердження Програми природоохоронних заходів Сквирської міської територіальної громади на 2021-2025роки» (далі –Програма) виклавши Програму в новій редакції.</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Обсяг фінансування «Програми фінансової підтримки комунальних підприємств у Сквирській міській територіальній громаді на 2021 - 2025 роки» визначається рішенням сесії «Про бюджет Сквирської міської територіальної  громади (код бюджету 10561000000)» на відповідний бюджетний період з урахуванням відповідних змін.</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Контроль за виконанням цього рішення покласти на заступника міського голови згідно з розподілом обов’язків.</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ab/>
        <w:tab/>
        <w:tab/>
        <w:tab/>
        <w:tab/>
        <w:t xml:space="preserve">Валентина ЛЕВІЦЬКА</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                                                       Тетяна ВЛАСЮК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міської голови                                            Олександр ГНАТЮК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195"/>
        </w:tabs>
        <w:spacing w:after="16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Заступниця міської голови</w:t>
        <w:tab/>
        <w:t xml:space="preserve"> Людмила СЕРГІЄНКО</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юридичного забезпечення</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ради та діловодства міської ради</w:t>
        <w:tab/>
        <w:tab/>
        <w:tab/>
        <w:t xml:space="preserve">                     Ірина КВАША</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(уповноважений з питань запобігання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виявлення корупції)                                                      Віктор САЛТАНЮК</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Начальник  відділу </w:t>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капітального будівництва, </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комунальної власності</w:t>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та житлово-комунального</w:t>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господарства міської ради                                              Марина ТЕРНОВА</w:t>
      </w: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w:t>
      </w: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580" w:right="0"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сесії </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58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Сквирської міської ради</w:t>
      </w: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529"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28.02.2023 № -30-VIII </w:t>
      </w: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Програма </w:t>
      </w: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природоохоронних заходів Сквирcької міської територіальної громади</w:t>
      </w: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2021-2025 роки</w:t>
      </w: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 А С П О Р Т</w:t>
      </w: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(загальна характеристика програми)</w:t>
      </w: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
        <w:tblW w:w="971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6"/>
        <w:gridCol w:w="4472"/>
        <w:gridCol w:w="4606"/>
        <w:tblGridChange w:id="0">
          <w:tblGrid>
            <w:gridCol w:w="636"/>
            <w:gridCol w:w="4472"/>
            <w:gridCol w:w="4606"/>
          </w:tblGrid>
        </w:tblGridChange>
      </w:tblGrid>
      <w:tr>
        <w:trPr>
          <w:cantSplit w:val="0"/>
          <w:tblHeader w:val="0"/>
        </w:trPr>
        <w:tc>
          <w:tcPr>
            <w:vAlign w:val="top"/>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c>
          <w:tcPr>
            <w:vAlign w:val="top"/>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Ініціатор розроблення програми</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Виконком Сквирської  міської  ради</w:t>
            </w:r>
          </w:p>
        </w:tc>
      </w:tr>
      <w:tr>
        <w:trPr>
          <w:cantSplit w:val="0"/>
          <w:tblHeader w:val="0"/>
        </w:trPr>
        <w:tc>
          <w:tcPr>
            <w:vAlign w:val="top"/>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c>
          <w:tcPr>
            <w:vAlign w:val="top"/>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Дата, номер і назва розпорядчого документа міської ради про затвердження програми</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 сесії міської ради № від</w:t>
            </w:r>
          </w:p>
        </w:tc>
      </w:tr>
      <w:tr>
        <w:trPr>
          <w:cantSplit w:val="0"/>
          <w:tblHeader w:val="0"/>
        </w:trPr>
        <w:tc>
          <w:tcPr>
            <w:vAlign w:val="top"/>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c>
          <w:tcPr>
            <w:vAlign w:val="top"/>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Розробник програми</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Виконком  Сквирської міської  ради</w:t>
            </w:r>
          </w:p>
        </w:tc>
      </w:tr>
      <w:tr>
        <w:trPr>
          <w:cantSplit w:val="0"/>
          <w:tblHeader w:val="0"/>
        </w:trPr>
        <w:tc>
          <w:tcPr>
            <w:vAlign w:val="top"/>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w:t>
            </w:r>
          </w:p>
        </w:tc>
        <w:tc>
          <w:tcPr>
            <w:vAlign w:val="top"/>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Співрозробник програми</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 капітального будівництва, комунальної власності та житлово-комунального господарства</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p>
        </w:tc>
        <w:tc>
          <w:tcPr>
            <w:vAlign w:val="top"/>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Відповідальний виконавець програми</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 капітального будівництва, комунальної власності та житлово-комунального господарства</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c>
          <w:tcPr>
            <w:vAlign w:val="top"/>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Учасник програми</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 капітального будівництва, комунальної власності та житлово-комунального господарства, КП «Сквирське комунальне господарство»</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w:t>
            </w:r>
          </w:p>
        </w:tc>
        <w:tc>
          <w:tcPr>
            <w:vAlign w:val="top"/>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Термін реалізації програми</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2021-2025 роки</w:t>
            </w:r>
          </w:p>
        </w:tc>
      </w:tr>
      <w:tr>
        <w:trPr>
          <w:cantSplit w:val="0"/>
          <w:tblHeader w:val="0"/>
        </w:trPr>
        <w:tc>
          <w:tcPr>
            <w:vAlign w:val="top"/>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7.1.</w:t>
            </w:r>
          </w:p>
        </w:tc>
        <w:tc>
          <w:tcPr>
            <w:vAlign w:val="top"/>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Етапи виконання програми (для довгострокових програм)</w:t>
            </w:r>
          </w:p>
        </w:tc>
        <w:tc>
          <w:tcPr>
            <w:vAlign w:val="top"/>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tc>
      </w:tr>
      <w:tr>
        <w:trPr>
          <w:cantSplit w:val="0"/>
          <w:tblHeader w:val="0"/>
        </w:trPr>
        <w:tc>
          <w:tcPr>
            <w:vAlign w:val="top"/>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w:t>
            </w:r>
          </w:p>
        </w:tc>
        <w:tc>
          <w:tcPr>
            <w:vAlign w:val="top"/>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Перелік місцевих бюджетів, які беруть участь у виконанні програми </w:t>
            </w:r>
          </w:p>
        </w:tc>
        <w:tc>
          <w:tcPr>
            <w:vAlign w:val="top"/>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Місцевий бюджет Сквирської міської територіальної громади (кошти екологічного фонду)</w:t>
            </w:r>
          </w:p>
        </w:tc>
      </w:tr>
      <w:tr>
        <w:trPr>
          <w:cantSplit w:val="0"/>
          <w:tblHeader w:val="0"/>
        </w:trPr>
        <w:tc>
          <w:tcPr>
            <w:vAlign w:val="top"/>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w:t>
            </w:r>
          </w:p>
        </w:tc>
        <w:tc>
          <w:tcPr>
            <w:vAlign w:val="top"/>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Загальний обсяг фінансових ресурсів, необхідних для реалізації програми, всього, </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тому числі :</w:t>
            </w:r>
          </w:p>
        </w:tc>
        <w:tc>
          <w:tcPr>
            <w:vAlign w:val="top"/>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Визначається шляхом внесення змін до рішення сесії міської ради «Про бюджет міста Сквира» на відповідний рік» </w:t>
            </w:r>
          </w:p>
        </w:tc>
      </w:tr>
      <w:tr>
        <w:trPr>
          <w:cantSplit w:val="0"/>
          <w:trHeight w:val="422" w:hRule="atLeast"/>
          <w:tblHeader w:val="0"/>
        </w:trPr>
        <w:tc>
          <w:tcPr>
            <w:vAlign w:val="top"/>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9.1.</w:t>
            </w:r>
          </w:p>
        </w:tc>
        <w:tc>
          <w:tcPr>
            <w:vAlign w:val="top"/>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коштів міського бюджету</w:t>
            </w:r>
          </w:p>
        </w:tc>
        <w:tc>
          <w:tcPr>
            <w:vAlign w:val="top"/>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rHeight w:val="514" w:hRule="atLeast"/>
          <w:tblHeader w:val="0"/>
        </w:trPr>
        <w:tc>
          <w:tcPr>
            <w:vAlign w:val="top"/>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9.2</w:t>
            </w:r>
          </w:p>
        </w:tc>
        <w:tc>
          <w:tcPr>
            <w:vAlign w:val="top"/>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коштів інших джерел</w:t>
            </w:r>
          </w:p>
        </w:tc>
        <w:tc>
          <w:tcPr>
            <w:vAlign w:val="top"/>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 Загальні положення</w:t>
      </w: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Програма природоохоронних заходів Сквирської міської територіальної громади(далі - Програма) спрямована на реалізацію державної та територіальної політики щодо забезпечення конституційного права людини на безпечне довкілля та виконання обов’язків щодо охорони, раціонального використання та відтворення природних ресурсів. </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екологічної стабільності, охорона навколишнього природного середовища, поліпшення умов проживання населення є складовою частиною економічного і соціального розвитку громади. </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Програму розроблено з урахуванням положень до розділу Х Закону України „Про охорону навколишнього природного середовища”, Постанови Кабінету Міністрів України „Про затвердження переліку видів діяльності , що належать до природоохоронних заходів” від 17.09.1996 року № 1147 (зі змінами),пункту 22 частини 1 ст. 26, ст.33 Закону України „Про місцеве самоврядування в Україні” та Постанови Кабінету Міністрів України від 10.01.2023 №25 «Про реалізацію експериментального проекту щодо створення сприятливих умов для забезпечення ефективного споживання електричної енергії населенням».</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Розроблення Програми обумовлено існуванням екологічних проблем, які потребують вирішення або зменшення їх негативного впливу на навколишнє природне середовище. </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8"/>
        </w:tabs>
        <w:spacing w:after="0" w:before="0" w:line="240" w:lineRule="auto"/>
        <w:ind w:left="0" w:right="0" w:firstLine="851"/>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8"/>
        </w:tabs>
        <w:spacing w:after="0" w:before="0" w:line="240" w:lineRule="auto"/>
        <w:ind w:left="0" w:right="0" w:firstLine="851"/>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ІІ. Мета і завдання Програми</w:t>
      </w: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8"/>
        </w:tabs>
        <w:spacing w:after="0" w:before="0" w:line="240" w:lineRule="auto"/>
        <w:ind w:left="0" w:right="0" w:firstLine="851"/>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Основною метою Програми є забезпечення екологічно безпечних умов проживання населення Сквирської міської територіальної громади, запобігання виникненню екологічних надзвичайних ситуацій, охорона, раціональне використання та відтворення природних ресурсів, покращення екологічної ситуації взагалі. </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досягнення цієї мети необхідно провести ряд заходів щодо зменшення забруднення довкілля, раціонального водокористування, охорони поверхневих вод, вирішення проблем міського полігону ТПВ, збереження та відновлення зелених зон, зменшення негативного впливу підприємств громади на довкілля, підвищення рівня екологічної свідомості мешканців громади, проведення виховної роботи щодо охорони навколишнього природного середовища, формування прагнення у мешканців громади активної діяльності щодо поліпшення і збереження природного середовища, пропагування природоохоронних знань, небайдужого ставлення до дій людей, які наносять шкоду природі.</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Визначити КП «Сквирське комунальне господарство» суб’єктом з реалізації експериментального проекту із вирішення питань належного поводження із відпрацьованими лампами розжарювання.</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IІІ. Основні заходи реалізації Програми.</w:t>
      </w: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щодо покращення санітарного стануСквирської міської територіальної громади, раціонального використання і зберігання побутових відходів</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9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рекультивація території полігону твердих побутових відходів на території Сквирської міської територіальної громади;</w:t>
      </w:r>
    </w:p>
    <w:p w:rsidR="00000000" w:rsidDel="00000000" w:rsidP="00000000" w:rsidRDefault="00000000" w:rsidRPr="00000000" w14:paraId="0000009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ліквідація стихійних звалищ сміття та побутових відходів на території Сквирської територіальної громади;</w:t>
      </w:r>
    </w:p>
    <w:p w:rsidR="00000000" w:rsidDel="00000000" w:rsidP="00000000" w:rsidRDefault="00000000" w:rsidRPr="00000000" w14:paraId="0000009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своєчасне вивезення сміття та розміщення його на діючому звалищі;</w:t>
      </w:r>
    </w:p>
    <w:p w:rsidR="00000000" w:rsidDel="00000000" w:rsidP="00000000" w:rsidRDefault="00000000" w:rsidRPr="00000000" w14:paraId="0000009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прибирання та вивезення сміття, підтримка належногосанітарногостануоб`єктів благоустрою;</w:t>
      </w:r>
    </w:p>
    <w:p w:rsidR="00000000" w:rsidDel="00000000" w:rsidP="00000000" w:rsidRDefault="00000000" w:rsidRPr="00000000" w14:paraId="0000009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будівництво установок, виробництв, цехів для одержання сировини або готової продукції з відходів виробництва та побутових відходів; </w:t>
      </w:r>
    </w:p>
    <w:p w:rsidR="00000000" w:rsidDel="00000000" w:rsidP="00000000" w:rsidRDefault="00000000" w:rsidRPr="00000000" w14:paraId="0000009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та впровадження установок, обладнання та машин, в тому числі спеціальних, контейнерів для збору, транспортування, перероблення та складування побутових відходів та сміття;</w:t>
      </w:r>
    </w:p>
    <w:p w:rsidR="00000000" w:rsidDel="00000000" w:rsidP="00000000" w:rsidRDefault="00000000" w:rsidRPr="00000000" w14:paraId="0000009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впровадження системи роздільного збору, видалення та знешкодження відходів.</w:t>
      </w:r>
    </w:p>
    <w:p w:rsidR="00000000" w:rsidDel="00000000" w:rsidP="00000000" w:rsidRDefault="00000000" w:rsidRPr="00000000" w14:paraId="0000009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організація проведення оцінки впливу на довкілля та стратегічної екологічної оцінки (код за ДК 021:2015-90710000-7)</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щодо охорони та раціонального використання водних ресурсів:</w:t>
      </w:r>
    </w:p>
    <w:p w:rsidR="00000000" w:rsidDel="00000000" w:rsidP="00000000" w:rsidRDefault="00000000" w:rsidRPr="00000000" w14:paraId="000000A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впорядкування і охорона джерел, їх паспортизація, паспортизація водойм;</w:t>
      </w:r>
    </w:p>
    <w:p w:rsidR="00000000" w:rsidDel="00000000" w:rsidP="00000000" w:rsidRDefault="00000000" w:rsidRPr="00000000" w14:paraId="000000A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насосного і технологічного обладнання для заміни такого, що використало свої технічні можливості на комунальних каналізаційних системах;</w:t>
      </w:r>
    </w:p>
    <w:p w:rsidR="00000000" w:rsidDel="00000000" w:rsidP="00000000" w:rsidRDefault="00000000" w:rsidRPr="00000000" w14:paraId="000000A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розробка та затвердження технологічних та господарсько-побутових нормативів використання води, встановлення лімітів водоспоживання;</w:t>
      </w:r>
    </w:p>
    <w:p w:rsidR="00000000" w:rsidDel="00000000" w:rsidP="00000000" w:rsidRDefault="00000000" w:rsidRPr="00000000" w14:paraId="000000A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екологічне стимулювання раціонального використання води питної якості, обмеження використання води питної якості для промислових цілей;</w:t>
      </w:r>
    </w:p>
    <w:p w:rsidR="00000000" w:rsidDel="00000000" w:rsidP="00000000" w:rsidRDefault="00000000" w:rsidRPr="00000000" w14:paraId="000000A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будівництво у населених пунктах необхідних споруд для очищення стічних вод, що утворюються у комунальному господарстві;</w:t>
      </w:r>
    </w:p>
    <w:p w:rsidR="00000000" w:rsidDel="00000000" w:rsidP="00000000" w:rsidRDefault="00000000" w:rsidRPr="00000000" w14:paraId="000000A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з охорони підземних вод та ліквідації джерел їх забруднення;</w:t>
      </w:r>
    </w:p>
    <w:p w:rsidR="00000000" w:rsidDel="00000000" w:rsidP="00000000" w:rsidRDefault="00000000" w:rsidRPr="00000000" w14:paraId="000000A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роботи, пов`язані з поліпшенням технічного стану та благоустрою водойм.</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щодо охорони і раціонального використання природних рослинних ресурсів:</w:t>
      </w:r>
    </w:p>
    <w:p w:rsidR="00000000" w:rsidDel="00000000" w:rsidP="00000000" w:rsidRDefault="00000000" w:rsidRPr="00000000" w14:paraId="000000A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проведення заходів з озеленення громади, інвентаризація зелених насаджень;</w:t>
      </w:r>
    </w:p>
    <w:p w:rsidR="00000000" w:rsidDel="00000000" w:rsidP="00000000" w:rsidRDefault="00000000" w:rsidRPr="00000000" w14:paraId="000000A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боротьба з бур`янами та карантинними рослинами;</w:t>
      </w:r>
    </w:p>
    <w:p w:rsidR="00000000" w:rsidDel="00000000" w:rsidP="00000000" w:rsidRDefault="00000000" w:rsidRPr="00000000" w14:paraId="000000A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ліквідація наслідків буреломів, снігопадів та вітровалів.</w:t>
      </w:r>
    </w:p>
    <w:p w:rsidR="00000000" w:rsidDel="00000000" w:rsidP="00000000" w:rsidRDefault="00000000" w:rsidRPr="00000000" w14:paraId="000000A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із збирання, перевезення та утилізації відпрацьованих ламп розжарювання.</w:t>
      </w:r>
    </w:p>
    <w:p w:rsidR="00000000" w:rsidDel="00000000" w:rsidP="00000000" w:rsidRDefault="00000000" w:rsidRPr="00000000" w14:paraId="000000A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Заходи щодо відновлення і підтримки сприятливого гідрологічного та санітарного стану р.Сквирка з метою захисту від підтоплення центральної частини міста від вул.Тараса Шевченка до вул.Затишна в м.Сквира Білоцерківського району Київської області.</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ІV. Фінансове забезпечення Програми</w:t>
      </w: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Фінансування Програми передбачається за рахунок коштів місцевого бюджету Сквирської міської територіальної громади, власних коштів підприємств та інших не заборонених законодавством джерел. </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Можливо залучення коштів державного бюджетів та інших джерел (що не суперечить вимогам чинного законодавства - добровільні внески, інвестиції тощо). </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Обсяги фінансування заходів Програми можуть уточнюватися впродовж року в межах наявних фінансових ресурсів.</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Головним розпорядником бюджетних коштів, які виділятимуться на виконання заходів Програми, є Відділ капітального будівництва, комунальної власності та житлово-комунального господарства Сквирської міської ради. </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 Організація та контроль за виконанням заходів Програми </w:t>
      </w: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Виконавцем Програми є Відділ капітального будівництва, комунальної власності та житлово-комунального господарства Сквирської міської ради. Співучасником Програми є КП «Сквирське комунальне господарство».</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взаємодії та координації роботи виконавчого органу Сквирської міської ради пов’язане із виконанням Програми, здійснюється постійною комісією міської ради з питань комунального майна, житлово-комунального господарства, благоустрою та охорони навколишнього середовища. </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Передбачається також співробітництво з громадськими організаціями.</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за ходом виконання Програми покладається на постійну комісію Сквирської  міської ради з питань комунального майна, житлово-комунального господарства, благоустрою та охорони навколишнього середовища.</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VI. Очікувані результати реалізації Програми</w:t>
      </w: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ході та по завершенні реалізації Програми очікується вирішення питання поводження з твердими побутовими відходами, збільшення кількості зелених насаджень та озеленених зон у громаді та поліпшення екологічного стану громадита створення сприятливих умов для забезпечення ефективного споживання електричної енергії населенням.</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Начальниця відділу капітального будівництва, </w:t>
      </w:r>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комунальної власності та житлово-комунального</w:t>
      </w:r>
      <w:r w:rsidDel="00000000" w:rsidR="00000000" w:rsidRPr="00000000">
        <w:rPr>
          <w:rtl w:val="0"/>
        </w:rPr>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господарства Сквирської міської ради</w:t>
        <w:tab/>
        <w:tab/>
        <w:t xml:space="preserve">              Марина ТЕРНОВА</w:t>
      </w:r>
      <w:r w:rsidDel="00000000" w:rsidR="00000000" w:rsidRPr="00000000">
        <w:rPr>
          <w:rtl w:val="0"/>
        </w:rPr>
      </w:r>
    </w:p>
    <w:sectPr>
      <w:pgSz w:h="16838" w:w="11906" w:orient="portrait"/>
      <w:pgMar w:bottom="851" w:top="851" w:left="1701" w:right="707" w:header="708" w:footer="708"/>
      <w:pgNumType w:start="3"/>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Bookman Old Style"/>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u-RU"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Основнойтекст">
    <w:name w:val="Основной текст"/>
    <w:basedOn w:val="Обычный"/>
    <w:next w:val="Основнойтекст"/>
    <w:autoRedefine w:val="0"/>
    <w:hidden w:val="0"/>
    <w:qFormat w:val="0"/>
    <w:pPr>
      <w:suppressAutoHyphens w:val="1"/>
      <w:spacing w:after="120"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u-RU" w:val="ru-RU"/>
    </w:rPr>
  </w:style>
  <w:style w:type="character" w:styleId="ОсновнойтекстЗнак">
    <w:name w:val="Основной текст Знак"/>
    <w:basedOn w:val="Основнойшрифтабзаца"/>
    <w:next w:val="ОсновнойтекстЗнак"/>
    <w:autoRedefine w:val="0"/>
    <w:hidden w:val="0"/>
    <w:qFormat w:val="0"/>
    <w:rPr>
      <w:rFonts w:ascii="Times New Roman" w:cs="Times New Roman" w:eastAsia="Times New Roman" w:hAnsi="Times New Roman"/>
      <w:w w:val="100"/>
      <w:position w:val="-1"/>
      <w:sz w:val="24"/>
      <w:szCs w:val="24"/>
      <w:effect w:val="none"/>
      <w:vertAlign w:val="baseline"/>
      <w:cs w:val="0"/>
      <w:em w:val="none"/>
      <w:lang w:eastAsia="ru-RU" w:val="ru-RU"/>
    </w:rPr>
  </w:style>
  <w:style w:type="paragraph" w:styleId="Обычный(веб)">
    <w:name w:val="Обычный (веб)"/>
    <w:basedOn w:val="Обычный"/>
    <w:next w:val="Обычный(веб)"/>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uk-UA" w:val="uk-UA"/>
    </w:rPr>
  </w:style>
  <w:style w:type="paragraph" w:styleId="Абзацсписка">
    <w:name w:val="Абзац списка"/>
    <w:basedOn w:val="Обычный"/>
    <w:next w:val="Абзацсписка"/>
    <w:autoRedefine w:val="0"/>
    <w:hidden w:val="0"/>
    <w:qFormat w:val="0"/>
    <w:pPr>
      <w:suppressAutoHyphens w:val="1"/>
      <w:spacing w:line="1" w:lineRule="atLeast"/>
      <w:ind w:left="720" w:leftChars="-1" w:rightChars="0" w:firstLineChars="-1"/>
      <w:contextualSpacing w:val="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u-RU" w:val="ru-RU"/>
    </w:rPr>
  </w:style>
  <w:style w:type="paragraph" w:styleId="Текствыноски">
    <w:name w:val="Текст выноски"/>
    <w:basedOn w:val="Обычный"/>
    <w:next w:val="Текствыноски"/>
    <w:autoRedefine w:val="0"/>
    <w:hidden w:val="0"/>
    <w:qFormat w:val="1"/>
    <w:pPr>
      <w:suppressAutoHyphens w:val="1"/>
      <w:spacing w:line="1" w:lineRule="atLeast"/>
      <w:ind w:leftChars="-1" w:rightChars="0" w:firstLineChars="-1"/>
      <w:textDirection w:val="btLr"/>
      <w:textAlignment w:val="top"/>
      <w:outlineLvl w:val="0"/>
    </w:pPr>
    <w:rPr>
      <w:rFonts w:ascii="Tahoma" w:cs="Tahoma" w:eastAsia="Times New Roman" w:hAnsi="Tahoma"/>
      <w:w w:val="100"/>
      <w:position w:val="-1"/>
      <w:sz w:val="16"/>
      <w:szCs w:val="16"/>
      <w:effect w:val="none"/>
      <w:vertAlign w:val="baseline"/>
      <w:cs w:val="0"/>
      <w:em w:val="none"/>
      <w:lang w:bidi="ar-SA" w:eastAsia="ru-RU" w:val="ru-RU"/>
    </w:rPr>
  </w:style>
  <w:style w:type="character" w:styleId="ТекствыноскиЗнак">
    <w:name w:val="Текст выноски Знак"/>
    <w:basedOn w:val="Основнойшрифтабзаца"/>
    <w:next w:val="ТекствыноскиЗнак"/>
    <w:autoRedefine w:val="0"/>
    <w:hidden w:val="0"/>
    <w:qFormat w:val="0"/>
    <w:rPr>
      <w:rFonts w:ascii="Tahoma" w:cs="Tahoma" w:eastAsia="Times New Roman" w:hAnsi="Tahoma"/>
      <w:w w:val="100"/>
      <w:position w:val="-1"/>
      <w:sz w:val="16"/>
      <w:szCs w:val="16"/>
      <w:effect w:val="none"/>
      <w:vertAlign w:val="baseline"/>
      <w:cs w:val="0"/>
      <w:em w:val="none"/>
      <w:lang w:eastAsia="ru-RU" w:val="ru-RU"/>
    </w:rPr>
  </w:style>
  <w:style w:type="paragraph" w:styleId="заголовок2">
    <w:name w:val="заголовок 2"/>
    <w:basedOn w:val="Обычный"/>
    <w:next w:val="Обычный"/>
    <w:autoRedefine w:val="0"/>
    <w:hidden w:val="0"/>
    <w:qFormat w:val="0"/>
    <w:pPr>
      <w:keepNext w:val="1"/>
      <w:pBdr>
        <w:bottom w:color="auto" w:space="1" w:sz="12" w:val="single"/>
      </w:pBdr>
      <w:suppressAutoHyphens w:val="1"/>
      <w:spacing w:line="1" w:lineRule="atLeast"/>
      <w:ind w:leftChars="-1" w:rightChars="0" w:firstLineChars="-1"/>
      <w:jc w:val="center"/>
      <w:textDirection w:val="btLr"/>
      <w:textAlignment w:val="top"/>
      <w:outlineLvl w:val="1"/>
    </w:pPr>
    <w:rPr>
      <w:rFonts w:ascii="Times NR Cyr MT" w:eastAsia="Times New Roman" w:hAnsi="Times NR Cyr MT"/>
      <w:b w:val="1"/>
      <w:w w:val="100"/>
      <w:position w:val="-1"/>
      <w:sz w:val="24"/>
      <w:szCs w:val="20"/>
      <w:effect w:val="none"/>
      <w:vertAlign w:val="baseline"/>
      <w:cs w:val="0"/>
      <w:em w:val="none"/>
      <w:lang w:bidi="ar-SA" w:eastAsia="ru-RU" w:val="uk-UA"/>
    </w:rPr>
  </w:style>
  <w:style w:type="paragraph" w:styleId="Верхнийколонтитул">
    <w:name w:val="Верхний колонтитул"/>
    <w:basedOn w:val="Обычный"/>
    <w:next w:val="Верхнийколонтитул"/>
    <w:autoRedefine w:val="0"/>
    <w:hidden w:val="0"/>
    <w:qFormat w:val="1"/>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u-RU" w:val="ru-RU"/>
    </w:rPr>
  </w:style>
  <w:style w:type="character" w:styleId="ВерхнийколонтитулЗнак">
    <w:name w:val="Верхний колонтитул Знак"/>
    <w:basedOn w:val="Основнойшрифтабзаца"/>
    <w:next w:val="ВерхнийколонтитулЗнак"/>
    <w:autoRedefine w:val="0"/>
    <w:hidden w:val="0"/>
    <w:qFormat w:val="0"/>
    <w:rPr>
      <w:rFonts w:ascii="Times New Roman" w:cs="Times New Roman" w:eastAsia="Times New Roman" w:hAnsi="Times New Roman"/>
      <w:w w:val="100"/>
      <w:position w:val="-1"/>
      <w:sz w:val="24"/>
      <w:szCs w:val="24"/>
      <w:effect w:val="none"/>
      <w:vertAlign w:val="baseline"/>
      <w:cs w:val="0"/>
      <w:em w:val="none"/>
      <w:lang w:eastAsia="ru-RU" w:val="ru-RU"/>
    </w:rPr>
  </w:style>
  <w:style w:type="paragraph" w:styleId="Нижнийколонтитул">
    <w:name w:val="Нижний колонтитул"/>
    <w:basedOn w:val="Обычный"/>
    <w:next w:val="Нижнийколонтитул"/>
    <w:autoRedefine w:val="0"/>
    <w:hidden w:val="0"/>
    <w:qFormat w:val="1"/>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u-RU" w:val="ru-RU"/>
    </w:rPr>
  </w:style>
  <w:style w:type="character" w:styleId="НижнийколонтитулЗнак">
    <w:name w:val="Нижний колонтитул Знак"/>
    <w:basedOn w:val="Основнойшрифтабзаца"/>
    <w:next w:val="НижнийколонтитулЗнак"/>
    <w:autoRedefine w:val="0"/>
    <w:hidden w:val="0"/>
    <w:qFormat w:val="0"/>
    <w:rPr>
      <w:rFonts w:ascii="Times New Roman" w:cs="Times New Roman" w:eastAsia="Times New Roman" w:hAnsi="Times New Roman"/>
      <w:w w:val="100"/>
      <w:position w:val="-1"/>
      <w:sz w:val="24"/>
      <w:szCs w:val="24"/>
      <w:effect w:val="none"/>
      <w:vertAlign w:val="baseline"/>
      <w:cs w:val="0"/>
      <w:em w:val="none"/>
      <w:lang w:eastAsia="ru-RU" w:val="ru-RU"/>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CCeikDivZAnUeKZaTdrFunYOJDg==">AMUW2mV4Ss8kaZvxxCMWxY/rIGRopg90ll7/LdSICQIxF6766J3lrye3LUOqrdQUkVj7qPzxiT/kQtD725jZso9EvhSlKYzyZaN8YKb6c7uf6F4Hf5++HFsVeYzwy+d89OiBdy5I1u4q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2023-02-24T08:59:00Z</dcterms:created>
  <dc:creator>User</dc:creator>
</cp:coreProperties>
</file>