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7675" cy="608965"/>
            <wp:effectExtent b="0" l="0" r="0" t="0"/>
            <wp:docPr id="102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896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ПРОЄКТ 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 w:cs="I" w:eastAsia="I" w:hAnsi="I"/>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___ березня 2023 року                 м. Сквира                             № ____</w:t>
      </w:r>
      <w:r w:rsidDel="00000000" w:rsidR="00000000" w:rsidRPr="00000000">
        <w:rPr>
          <w:rFonts w:ascii="I" w:cs="I" w:eastAsia="I" w:hAnsi="I"/>
          <w:b w:val="1"/>
          <w:i w:val="0"/>
          <w:smallCaps w:val="0"/>
          <w:strike w:val="0"/>
          <w:color w:val="000000"/>
          <w:sz w:val="28"/>
          <w:szCs w:val="28"/>
          <w:u w:val="none"/>
          <w:shd w:fill="auto" w:val="clear"/>
          <w:vertAlign w:val="baseline"/>
          <w:rtl w:val="0"/>
        </w:rPr>
        <w:t xml:space="preserve">VIII</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I" w:cs="I" w:eastAsia="I" w:hAnsi="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хід виконання Стратегії розвитку</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2021 – 2027 роки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Керуючись ст.ст. 25, 26, 59 Закону України «Про місцеве самоврядування в Україні», відповідно до Закону України "Про державне прогнозування та розроблення програм  економічного і соціального розвитку України", постанов Кабінету Міністрів України від 26.04.2003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від 05.08.2020 № 695 «Про затвердження Державної стратегії регіонального розвитку на 2021—2027 роки», від 11.11.2015 № 932 «Про затвердження Порядку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 заслухавши інформацію про</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виконання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Стратегії розвитку Сквирської міської територіальної громади на 2021 – 2027 роки,  затвердженої рішенням міської ради від 30.09.2021 № 1-12-VIII «Про затвердження Стратегії розвитку Сквирської міської територіальної громади на 2021 – 2027 роки», враховуючи висновки і рекомендації постійних комісій міської ради, Сквирська міська рада VIII скликання</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Інформацію про хід виконання Стратегії розвитку Сквирської міської територіальної громади на 2021 – 2027 роки взяти до відома (додається).</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Керівникам структурних підрозділів міської ради та виконавчого комітету забезпечити виконання операційних цілей та завдань Стратегії розвитку Сквирської міської територіальної громади на 2021-2027 роки.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Відділу економічно-інвестиційної діяльності та агропромислового розвитку Сквирської міської ради щорічно здійснювати моніторинг виконання Стратегії.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рішення покласти на постійні комісії Сквирської міської ради.</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ПОГОДЖЕНО:</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Секретар міської ради </w:t>
        <w:tab/>
        <w:tab/>
        <w:tab/>
        <w:tab/>
        <w:tab/>
        <w:tab/>
        <w:t xml:space="preserve">Тетяна ВЛАСЮК</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Заступниця міської голови</w:t>
        <w:tab/>
        <w:tab/>
        <w:tab/>
        <w:tab/>
        <w:tab/>
        <w:t xml:space="preserve">Людмила СЕРГІЄНКО</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bookmarkStart w:colFirst="0" w:colLast="0" w:name="_heading=h.30j0zll" w:id="1"/>
      <w:bookmarkEnd w:id="1"/>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Заступниця міської голови</w:t>
        <w:tab/>
        <w:tab/>
        <w:tab/>
        <w:tab/>
        <w:t xml:space="preserve">       </w:t>
        <w:tab/>
        <w:t xml:space="preserve"> Валентина БАЧИНСЬКА</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Заступник міського голови                                                     Олександр Гнатюк</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Начальниця відділу</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 питань юридичного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забезпечення та діловодства </w:t>
        <w:tab/>
        <w:tab/>
        <w:tab/>
        <w:tab/>
        <w:tab/>
        <w:t xml:space="preserve"> Ірина КВАША</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Виконавець:</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Начальниця відділу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економічно-інвестиційної діяльності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та агропромислового розвитку</w:t>
        <w:tab/>
        <w:tab/>
        <w:tab/>
        <w:t xml:space="preserve">     </w:t>
        <w:tab/>
        <w:t xml:space="preserve">           Оксана СУСЛОВА</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ab/>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Рекомендовано до винесення на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розгляд та затвердження сесією:</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Голова постійної комісії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 питань планування бюджету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та фінансів, соціально-економічного розвитку                   Максим ЧМИРЬ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Голова постійної комісії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 питань регламенту, депутатської етики,</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законності та правопорядку</w:t>
        <w:tab/>
        <w:tab/>
        <w:tab/>
        <w:tab/>
        <w:tab/>
        <w:t xml:space="preserve"> Василь ГРИША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Голова постійної комісії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 питань комунального майна,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житлово-комунального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благоустрою та охорони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навколишнього середовища                                          </w:t>
        <w:tab/>
        <w:t xml:space="preserve">  Микола СИВОРАКША</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Голова постійної комісії з питань</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підприємництва, промисловості,</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сільського господарства,</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землевпорядкування,</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будівництва та архітектури                                                     Віктор ДОРОШЕНКО</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Голова постійної комісії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 питань соціального захисту, освіти,</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охорони здоров’я, культури та релігії                                     Катерина БОНДАРЧУК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37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до рішення </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37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Сквирської міської ради</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37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__ березня 2023 року</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37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№__-__-VІІІ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663"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Виконання заходів Стратегії розвитку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 на 2021 – 2027 роки</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Стратегія розвитку розроблена відповідно до норм Постанови Кабінету Міністрів України від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05.08.2020 року №695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Державної стратегії регіонального розвитку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на 2021-2027 роки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та Стратегії розвитку Київської області на 2021-2027 роки.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Стратегія розвитку Сквирської міської територіальної громади на 2021-2027 роки затверджена рішенням Сквирської міської ради від 30.09.2021 року № 01-12-</w:t>
      </w:r>
      <w:r w:rsidDel="00000000" w:rsidR="00000000" w:rsidRPr="00000000">
        <w:rPr>
          <w:i w:val="0"/>
          <w:smallCaps w:val="0"/>
          <w:strike w:val="0"/>
          <w:color w:val="000000"/>
          <w:sz w:val="28"/>
          <w:szCs w:val="28"/>
          <w:u w:val="none"/>
          <w:shd w:fill="auto" w:val="clear"/>
          <w:vertAlign w:val="baseline"/>
          <w:rtl w:val="0"/>
        </w:rPr>
        <w:t xml:space="preserve">VІІІ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Головна мета Стратегії – запровадження нового способу планування розвитку громади за умов підвищення якості життя, що досягається через зміни в управлінні, підвищенні конкурентоздатності економіки громади, вирішенні проблем економічного розвитку, що сприятиме покращенню життя громадян і є завданням міської ради відповідно до Закону України «Про місцеве самоврядування в Україні».</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Стратегія визначає цілі та пріоритети розвитку на період до 2027 року: завдання та проєкти, спрямовані на структурні зміни в економіці </w:t>
      </w:r>
      <w:r w:rsidDel="00000000" w:rsidR="00000000" w:rsidRPr="00000000">
        <w:rPr>
          <w:sz w:val="28"/>
          <w:szCs w:val="28"/>
          <w:rtl w:val="0"/>
        </w:rPr>
        <w:t xml:space="preserve">та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соціальній сфері, поступове розв`язання наявних проблем. </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територіальна громада – інвестиційно та туристично приваблива територія столичної області</w:t>
      </w:r>
      <w:r w:rsidDel="00000000" w:rsidR="00000000" w:rsidRPr="00000000">
        <w:rPr>
          <w:sz w:val="28"/>
          <w:szCs w:val="28"/>
          <w:rtl w:val="0"/>
        </w:rPr>
        <w:t xml:space="preserve">, 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орієнтована на високотехнологічне екологічне сільське господарство та переробку його продукції, безпечна для життя та ведення бізнесу, з розвинутою інфраструктурою. Громада, що прагне забезпечу</w:t>
      </w:r>
      <w:r w:rsidDel="00000000" w:rsidR="00000000" w:rsidRPr="00000000">
        <w:rPr>
          <w:sz w:val="28"/>
          <w:szCs w:val="28"/>
          <w:rtl w:val="0"/>
        </w:rPr>
        <w:t xml:space="preserve">вати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надання якісних освітніх та медичних послуг, з сучасною сферою відпочинку, спорту та дозвілля в українських національних традиціях.</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Всі проєкти, що реалізовувалися, мають на меті створення максимально комфортних умов проживання на території громади, привабливих як для місцевих мешканців, так і для жителів інших </w:t>
      </w:r>
      <w:bookmarkStart w:colFirst="0" w:colLast="0" w:name="bookmark=id.1fob9te" w:id="2"/>
      <w:bookmarkEnd w:id="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 а також комфортних умов для залучення інвестицій.</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Триваюча широкомасштабна військова агресія російської федерації проти України, розпочата в лютому 2022 року, негативно вплинула на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стабільний соціально економічний розвиток громади та виконання заходів Стратегії.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 року в громаді проводилася активна робота по протидії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загарбницьким діям росії,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стабілізації суспільно-політичної ситуації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громаді, а також вживалися заходи, спрямовані на забезпечення стабільного функціонування господарського комплексу, вирішення проблемних питань з метою задоволення потреб жителів Сквирщини.</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Постійно проводиться робота щодо подальшого впровадження реформ, забезпечення прав дітей та підтримки </w:t>
      </w:r>
      <w:r w:rsidDel="00000000" w:rsidR="00000000" w:rsidRPr="00000000">
        <w:rPr>
          <w:sz w:val="28"/>
          <w:szCs w:val="28"/>
          <w:rtl w:val="0"/>
        </w:rPr>
        <w:t xml:space="preserve">сім'ї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соціального захисту малозахищених верств населення, будівництва, реконструкції та ремонту об’єктів соціальної сфери, покращення стану дорожнього покриття, поліпшення екологічної ситуації в громаді та інших.</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sectPr>
          <w:pgSz w:h="16838" w:w="11906" w:orient="portrait"/>
          <w:pgMar w:bottom="1134" w:top="1134" w:left="1701" w:right="850" w:header="708" w:footer="708"/>
          <w:pgNumType w:start="1"/>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реалізації заходів </w:t>
      </w:r>
      <w:r w:rsidDel="00000000" w:rsidR="00000000" w:rsidRPr="00000000">
        <w:rPr>
          <w:sz w:val="28"/>
          <w:szCs w:val="28"/>
          <w:rtl w:val="0"/>
        </w:rPr>
        <w:t xml:space="preserve">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тратегії було прийнято або внесено зміни до 21</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місцевої комплексної або цільової програми. На стадії розробки знаход</w:t>
      </w:r>
      <w:r w:rsidDel="00000000" w:rsidR="00000000" w:rsidRPr="00000000">
        <w:rPr>
          <w:sz w:val="28"/>
          <w:szCs w:val="28"/>
          <w:rtl w:val="0"/>
        </w:rPr>
        <w:t xml:space="preserve">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ться програми -</w:t>
      </w:r>
      <w:r w:rsidDel="00000000" w:rsidR="00000000" w:rsidRPr="00000000">
        <w:rPr>
          <w:sz w:val="28"/>
          <w:szCs w:val="28"/>
          <w:rtl w:val="0"/>
        </w:rPr>
        <w:t xml:space="preserve"> "Ліси Сквирщини", “Програма розвитку автомобільного пасажирського транспорту  Сквирської міської територіальної громади на 2023-2025 роки” та “Програма компенсаційних виплат перевізникам за перевезення окремих пільгових категорій громадян, які проживають на території Сквирської міської територіальної громади, на приміських маршрутах загального користування автомобільним транспортом, що не виходять за межі громади на 2023-2024 роки”. 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ивчається питання розробки програм</w:t>
      </w:r>
      <w:r w:rsidDel="00000000" w:rsidR="00000000" w:rsidRPr="00000000">
        <w:rPr>
          <w:sz w:val="28"/>
          <w:szCs w:val="28"/>
          <w:rtl w:val="0"/>
        </w:rPr>
        <w:t xml:space="preserve">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“Сквирщана туристивна”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створено робочу комісію для проведення інвентаризації об’єктів культурної спадщини та подальшої розробки програми.  Стратегія Сквирської МТГ згідно із завданнями містить двадцять сім проєктів і лише шість не передбачають фінансування.</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Стратегічна ціль 1: економічна спроможність СКВИРСЬКОЇ МІСЬКОЇ ТЕРИТОРІАЛЬНОЇ ГРОМАДИ на рівні першої десятки в Київській області</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1.1. Сприятливий інвестиційний та безпечний і зручний бізнес-клімат в громаді (в першій десятці по залученню інвестицій в Київській області)</w:t>
      </w:r>
      <w:r w:rsidDel="00000000" w:rsidR="00000000" w:rsidRPr="00000000">
        <w:rPr>
          <w:rtl w:val="0"/>
        </w:rPr>
      </w:r>
    </w:p>
    <w:tbl>
      <w:tblPr>
        <w:tblStyle w:val="Table1"/>
        <w:tblW w:w="15026.0"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122"/>
        <w:gridCol w:w="2693"/>
        <w:gridCol w:w="2127"/>
        <w:gridCol w:w="8084"/>
        <w:tblGridChange w:id="0">
          <w:tblGrid>
            <w:gridCol w:w="2122"/>
            <w:gridCol w:w="2693"/>
            <w:gridCol w:w="2127"/>
            <w:gridCol w:w="8084"/>
          </w:tblGrid>
        </w:tblGridChange>
      </w:tblGrid>
      <w:tr>
        <w:trPr>
          <w:cantSplit w:val="0"/>
          <w:tblHeader w:val="0"/>
        </w:trPr>
        <w:tc>
          <w:tcPr>
            <w:tcBorders>
              <w:bottom w:color="666666" w:space="0" w:sz="12" w:val="single"/>
            </w:tcBorders>
            <w:vAlign w:val="cente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1.1.1.</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Провести інвентаризацію, створити реєстр  земельних ділянок, інженерних мереж </w:t>
            </w:r>
          </w:p>
        </w:tc>
        <w:tc>
          <w:tcPr>
            <w:shd w:fill="cccccc" w:val="clear"/>
            <w:vAlign w:val="center"/>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2021-2025 роки </w:t>
            </w:r>
          </w:p>
        </w:tc>
        <w:tc>
          <w:tcPr>
            <w:shd w:fill="cccccc" w:val="clear"/>
            <w:vAlign w:val="cente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Створено цифровий реєстр інвестиційних пропозицій за міжнародними стандартами</w:t>
            </w:r>
          </w:p>
        </w:tc>
        <w:tc>
          <w:tcPr>
            <w:shd w:fill="cccccc" w:val="clear"/>
            <w:vAlign w:val="cente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2021-2022 років проводилась робота по інвентаризації земель громади. </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метою забезпечення жителів м. Сквира земельними ділянками для ведення городництва проведено:</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інвентаризацію масиву «Павленки», загальною площею 3,4069 га (затверджено рішенням сесії від 23.12.2021 №37.81-17-VIII);</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інвентаризацію масиву «РЕМ», загальною площею 12,5939 га (затверджено рішенням сесії від 23.12.2021 №37.80-17-VIII);</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інвентаризацію масиву «Польова», загальною площею 24,7059 га (затверджено рішенням сесії від 23.12.2021 №37.83-17-VIII);</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інвентаризацію масиву «Слобода», загальною площею 9,0325 га (затверджено рішенням сесії від 23.12.2021 №37.82-17-VIII);</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інвентаризацію масиву «Чорний ліс», загальною площею 2,6255 га (затверджено рішенням сесії від 14.09.2022 №27.03-24-VIII);</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інвентаризацію масиву «Куликівка», загальною площею 5,2166 га (затверджено рішенням сесії від 31.01.2023 №23.6-29-VIII).</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інвентаризацію земельних ділянок по пров. Каштановий, 10 та вул. Соборна, 24 у м. Сквира під об’єктами нерухомого майна комунальної власності.</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2021 році було прийнято рішення (№38.39-15-VIII) про підготовку лотів та проведення земельних торгів на земельні ділянки сільськогосподарського призначення, але у зв’язку із введенням в Україні воєнного стану проведення земельних торгів було призупинено.</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Проводяться роботи по створенню реєстру сформованих земельних ділянок комунальної власності Сквирської МТГ.</w:t>
            </w:r>
          </w:p>
        </w:tc>
      </w:tr>
      <w:tr>
        <w:trPr>
          <w:cantSplit w:val="0"/>
          <w:tblHeader w:val="0"/>
        </w:trPr>
        <w:tc>
          <w:tcPr>
            <w:vAlign w:val="top"/>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1.1.2.Провести інвентаризацію, створити реєстр нерухомого майна з доступом через мережу Інтернет та закріпити майно за комунальними підприємствами медичної галузі</w:t>
            </w:r>
          </w:p>
        </w:tc>
        <w:tc>
          <w:tcPr>
            <w:vAlign w:val="cente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управління комунальним майном Сквирської міської територіальної громади на 2021- 2025 роки </w:t>
            </w:r>
          </w:p>
        </w:tc>
        <w:tc>
          <w:tcPr>
            <w:vAlign w:val="center"/>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Створено цифровий реєстр інвестиційних пропозицій за міжнародними стандартами</w:t>
            </w:r>
          </w:p>
        </w:tc>
        <w:tc>
          <w:tcPr>
            <w:vAlign w:val="cente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метою впорядкування та обліку об’єктів нерухомого майна в 2021 році сформовано Перелік об’єктів нерухомого майна комунальної власності Сквирської міської територіальної громади, який  затверджено рішенням сесії від 08.06.2021 №09-8-VІІІ. Перелік сформовано в розрізі 11  балансоутримувачів комунального майна. Перелік об’єктів нерухомого майна зазнає постійних змін з об’єктивних причин, це: зміна балансоутримувача, прийняття у комунальну власність об’єктів, прийняття рішень міською радою щодо припинення та створення комунальних підприємств, отримання витягів щодо реєстрації права власності, виготовлення технічних паспортів. Станом на 01.01.2023 кількість балансоутримувачів становить 10,  загальна кількість об’єктів нерухомого майна складає 299, з них 232 будівлі, 32 гідротехнічні споруди та 35 артезіанських свердловин та водонапірних башт.</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Все нерухоме майно закріплене за балансоутримувачами на праві оперативного управління або господарського відання. Зокрема за закладами медичної галузі закріплене майно:</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КНП СМР  «Сквирська центральна міська лікарня» - 1 об’єкт, КНП СМР «Сквирський міський центр первинної медико-санітарної допомоги» - 32 об’єкти.</w:t>
            </w:r>
          </w:p>
        </w:tc>
      </w:tr>
      <w:tr>
        <w:trPr>
          <w:cantSplit w:val="0"/>
          <w:tblHeader w:val="0"/>
        </w:trPr>
        <w:tc>
          <w:tcPr>
            <w:shd w:fill="cccccc" w:val="clear"/>
            <w:vAlign w:val="top"/>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1.1.3. Розробити комплексний  план просторового розвитку території Сквирської міської територіальної громади</w:t>
            </w:r>
          </w:p>
        </w:tc>
        <w:tc>
          <w:tcPr>
            <w:shd w:fill="cccccc" w:val="clear"/>
            <w:vAlign w:val="cente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Програми розробки містобудівної документації для використання територіальною громадою м. Сквира на період 2021-2024 роки</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Розроблено комплексний  план просторового розвитку</w:t>
            </w:r>
          </w:p>
        </w:tc>
        <w:tc>
          <w:tcPr>
            <w:shd w:fill="cccccc" w:val="clear"/>
            <w:vAlign w:val="cente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2023 році заплановано проведення тендеру на закупівлю робіт зі створення  просторової бази геоданих, електронних (цифрових) топографічних  карт масштабу 1:10 000 території Сквирської міської територіальної громади та буде укладений договір на виконання даного виду робіт з відповідним виконавцем, який буде визнаний переможцем в закупівлі такого виду робіт (ДК 021:2015: 71350000-6 - Науково-технічні послуги в галузі інженерії)</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1.1.4.</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Розробити  генеральний план/детальний план м. Сквира та територій населених пунктів, які увійшли до</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складу МТГ</w:t>
            </w:r>
          </w:p>
        </w:tc>
        <w:tc>
          <w:tcPr>
            <w:vAlign w:val="cente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Програми розробки містобудівної документації для використання територіальною громадою м. Сквира на період 2021-2024 років</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Розроблені генплани та детальні плани забудови</w:t>
            </w:r>
          </w:p>
        </w:tc>
        <w:tc>
          <w:tcPr>
            <w:vAlign w:val="cente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2024 році заплановано проведення тендеру на закупівлю робіт зі розробки генерального плану міста Сквира та буде укладений договір на виконання даного виду робіт з відповідним виконавцем, який буде визнаний переможцем в закупівлі такого виду робіт (ДК 021:2015: 71350000-6 - Науково-технічні послуги в галузі інженерії)</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1.1.5.</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Сприяти роботі громадських організацій</w:t>
            </w:r>
          </w:p>
        </w:tc>
        <w:tc>
          <w:tcPr>
            <w:shd w:fill="cccccc" w:val="clear"/>
            <w:vAlign w:val="center"/>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«Громадські організації в дії»</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Консультативно-дорадчий орган, який об’єднує громадські організації</w:t>
            </w:r>
          </w:p>
        </w:tc>
        <w:tc>
          <w:tcPr>
            <w:shd w:fill="cccccc" w:val="clear"/>
            <w:vAlign w:val="center"/>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Рішенням виконавчого комітету Сквирської міської ради від 13.07.2021  №8/16 створено Координаційну раду учасників АТО/ООС та волонтерів при виконавчому комітеті Сквирської міської ради. Відповідно до поданих клопотань громадських організацій, до складу Координаційної ради входить 23 особи, з них 5чол-учасники АТО/ООС, а також представники громадських організацій:</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 «Спілка учасників АТО Сквирщини»;</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 «Народна рада»;</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 «Надійний тил»;</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Сквирська волонтерська організація «Оберіг»;</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Сквирська районна організація Української спілки ветеранів Афганістану;</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районна спілка інвалідів з ураженням опорно-рухового апарату «Прагнення-Сквира»;</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2022 році відбулося 2 засідання, на яких розглядалися питання:</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соціального захисту ветеранів АТО/ООС;</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медичного забезпечення ветеранів АТО/ООС;</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патріотичного виховання молоді;</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січня - лютого 2023 року засідання Координаційної ради не проводилися.</w:t>
            </w:r>
          </w:p>
        </w:tc>
      </w:tr>
    </w:tbl>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1.2. Розвиток інвестиційної політики та привабливості громади</w:t>
      </w:r>
      <w:r w:rsidDel="00000000" w:rsidR="00000000" w:rsidRPr="00000000">
        <w:rPr>
          <w:rtl w:val="0"/>
        </w:rPr>
      </w:r>
    </w:p>
    <w:tbl>
      <w:tblPr>
        <w:tblStyle w:val="Table2"/>
        <w:tblW w:w="14997.0"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122"/>
        <w:gridCol w:w="2693"/>
        <w:gridCol w:w="2127"/>
        <w:gridCol w:w="8055"/>
        <w:tblGridChange w:id="0">
          <w:tblGrid>
            <w:gridCol w:w="2122"/>
            <w:gridCol w:w="2693"/>
            <w:gridCol w:w="2127"/>
            <w:gridCol w:w="8055"/>
          </w:tblGrid>
        </w:tblGridChange>
      </w:tblGrid>
      <w:tr>
        <w:trPr>
          <w:cantSplit w:val="0"/>
          <w:tblHeader w:val="0"/>
        </w:trPr>
        <w:tc>
          <w:tcPr>
            <w:tcBorders>
              <w:bottom w:color="666666" w:space="0" w:sz="12" w:val="single"/>
            </w:tcBorders>
            <w:vAlign w:val="top"/>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1.2.1. Підготувати перелік ділянок під розміщення інвестиційних проєктів</w:t>
            </w:r>
          </w:p>
        </w:tc>
        <w:tc>
          <w:tcPr>
            <w:tcBorders>
              <w:bottom w:color="666666" w:space="0" w:sz="12" w:val="single"/>
            </w:tcBorders>
            <w:vAlign w:val="cente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2021- 2025 роки</w:t>
            </w:r>
          </w:p>
        </w:tc>
        <w:tc>
          <w:tcPr>
            <w:tcBorders>
              <w:bottom w:color="666666" w:space="0" w:sz="12" w:val="single"/>
            </w:tcBorders>
            <w:vAlign w:val="cente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ділянок</w:t>
            </w:r>
          </w:p>
        </w:tc>
        <w:tc>
          <w:tcPr>
            <w:tcBorders>
              <w:bottom w:color="666666" w:space="0" w:sz="12" w:val="single"/>
            </w:tcBorders>
            <w:vAlign w:val="cente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Проводиться інвентаризація земель Сквирської міської територіальної громади з метою визначення земельних ділянок під розміщення інвестиційних проєктів</w:t>
            </w:r>
          </w:p>
        </w:tc>
      </w:tr>
      <w:tr>
        <w:trPr>
          <w:cantSplit w:val="0"/>
          <w:tblHeader w:val="0"/>
        </w:trPr>
        <w:tc>
          <w:tcPr>
            <w:shd w:fill="cccccc" w:val="clear"/>
            <w:vAlign w:val="top"/>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1.2.2. Сформувати перелік нерухомого майна для передачі в оренду та продажу </w:t>
            </w:r>
          </w:p>
        </w:tc>
        <w:tc>
          <w:tcPr>
            <w:shd w:fill="cccccc" w:val="clear"/>
            <w:vAlign w:val="cente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управління комунальним майном Сквирської міської територіальної громади на 2021- 2025 роки</w:t>
            </w:r>
          </w:p>
        </w:tc>
        <w:tc>
          <w:tcPr>
            <w:shd w:fill="cccccc" w:val="clear"/>
            <w:vAlign w:val="cente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Створено реєстр нерухомого майна</w:t>
            </w:r>
          </w:p>
        </w:tc>
        <w:tc>
          <w:tcPr>
            <w:shd w:fill="cccccc" w:val="clear"/>
            <w:vAlign w:val="cente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2021 році сформовано та затверджено Переліки першого та другого типу об’єктів комунальної власності територіальної громади, що підлягають передачі в оренду на аукціоні та без проведення аукціону. Протягом 2021-2022 років до переліків вносилися зміни відповідно до заяв потенційних орендарів. Затвердженими переліками охоплено 95 об’єктів нерухомого майна, балансоутримувачами яких є структурні підрозділи та комунальні підприємства Сквирської міської ради. Через систему ПРОЗОРРО протягом 2022 року забезпечено укладання 69 договорів оренди комунального майна Сквирської міської ради загальною площею 10859,2 кв.м.</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Робота з приватизації об’єктів комунальної власності була розпочата в 2022 році. До переліку об’єктів комунальної власності Сквирської міської територіальної громади, що підлягають приватизації у 2022 році шляхом продажу на аукціонах, який затверджений рішенням міської ради,  було  включено 23 об’єкти. На електронному аукціоні було продано один об’єкт - нежитлову будівлю загальною площею 101,0 кв.м, розташовану за адресою: вул. Центральна, 93, с. Великополовецьке. Ціна продажу 166485,0 гривень. Кошти надійшли до бюджету громади.</w:t>
            </w:r>
          </w:p>
        </w:tc>
      </w:tr>
      <w:tr>
        <w:trPr>
          <w:cantSplit w:val="0"/>
          <w:tblHeader w:val="0"/>
        </w:trPr>
        <w:tc>
          <w:tcPr>
            <w:vAlign w:val="top"/>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1.2.3.Завершити оформлення землевпорядної документації на лісові землі та землі лісогосподарського призначення</w:t>
            </w:r>
          </w:p>
        </w:tc>
        <w:tc>
          <w:tcPr>
            <w:vAlign w:val="cente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2021- 2025 роки</w:t>
            </w:r>
          </w:p>
        </w:tc>
        <w:tc>
          <w:tcPr>
            <w:vAlign w:val="cente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Завершено оформлення землевпорядної документації</w:t>
            </w:r>
          </w:p>
        </w:tc>
        <w:tc>
          <w:tcPr>
            <w:vAlign w:val="cente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Повноваження Київської ОВА, на даний час триває реорганізація лісогосподарств, після завершення якої буде порушено питання про завершення виготовлення технічної документації в на землі лісового фонду в межах громади.</w:t>
            </w: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1.2.4.Розробити  Програму підтримки лісів Сквирської міської територіальної громади</w:t>
            </w:r>
          </w:p>
        </w:tc>
        <w:tc>
          <w:tcPr>
            <w:shd w:fill="cccccc" w:val="clear"/>
            <w:vAlign w:val="cente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«Ліси Сквирщини»</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заліснення 50 га</w:t>
            </w:r>
          </w:p>
        </w:tc>
        <w:tc>
          <w:tcPr>
            <w:shd w:fill="cccccc" w:val="clear"/>
            <w:vAlign w:val="cente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виконання Стратегії розвитку Сквирської міської територіальної громади на 2021-2027 роки, затвердженої рішенням сесії № 01-12-VIII від 30.09.2021 року, з метою розроблення місцевої цільової Програми «Ліси Сквирщини» на 2022-2026 роки зібрано пропозиції від старост Сквирської міської ради для включення до плану заходів Програми. Розроблено проєкт програми "Ліси Сквирщини" на 2022 -2026 роки" </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1.3. Формування та просування локальних туристичних продуктів на внутрішньому та міжнародному туристичному ринку</w:t>
      </w:r>
      <w:r w:rsidDel="00000000" w:rsidR="00000000" w:rsidRPr="00000000">
        <w:rPr>
          <w:rtl w:val="0"/>
        </w:rPr>
      </w:r>
    </w:p>
    <w:tbl>
      <w:tblPr>
        <w:tblStyle w:val="Table3"/>
        <w:tblW w:w="15139.0"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240"/>
        <w:gridCol w:w="2126"/>
        <w:gridCol w:w="2410"/>
        <w:gridCol w:w="8363"/>
        <w:tblGridChange w:id="0">
          <w:tblGrid>
            <w:gridCol w:w="2240"/>
            <w:gridCol w:w="2126"/>
            <w:gridCol w:w="2410"/>
            <w:gridCol w:w="8363"/>
          </w:tblGrid>
        </w:tblGridChange>
      </w:tblGrid>
      <w:tr>
        <w:trPr>
          <w:cantSplit w:val="0"/>
          <w:tblHeader w:val="0"/>
        </w:trPr>
        <w:tc>
          <w:tcPr>
            <w:tcBorders>
              <w:bottom w:color="666666" w:space="0" w:sz="12" w:val="single"/>
            </w:tcBorders>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108"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 w:right="-108"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1"/>
          <w:trHeight w:val="1988" w:hRule="atLeast"/>
          <w:tblHeader w:val="0"/>
        </w:trPr>
        <w:tc>
          <w:tcPr>
            <w:shd w:fill="cccccc" w:val="clear"/>
            <w:vAlign w:val="top"/>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1.3.1. Сформувати каталог туристичних об’єктів громади</w:t>
            </w:r>
          </w:p>
        </w:tc>
        <w:tc>
          <w:tcPr>
            <w:vMerge w:val="restart"/>
            <w:shd w:fill="cccccc" w:val="clear"/>
            <w:vAlign w:val="cente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Проєкт«Сквирщина туристична» </w:t>
            </w:r>
            <w:r w:rsidDel="00000000" w:rsidR="00000000" w:rsidRPr="00000000">
              <w:rPr>
                <w:rtl w:val="0"/>
              </w:rPr>
            </w:r>
          </w:p>
        </w:tc>
        <w:tc>
          <w:tcPr>
            <w:shd w:fill="cccccc" w:val="clear"/>
            <w:vAlign w:val="cente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Розвиток туристичних маршрутів Сквирщини, збереження та популяризація історико-культурної спадщини</w:t>
            </w:r>
          </w:p>
        </w:tc>
        <w:tc>
          <w:tcPr>
            <w:shd w:fill="cccccc" w:val="clear"/>
            <w:vAlign w:val="cente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Р</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озроблено 7 туристичних маршрутів. З метою обстеження об’єктів культурної спадщини на території громади, рішенням виконавчого комітету міської ради від 14.02.2023 № 32/5 «Про інвентаризацію та обстеження об’єктів культурної спадщини, що розташовані на території Сквирської міської територіальної громади» затверджено комісію з інвентаризацію та обстеження об’єктів культурної спадщини, що розташовані на території громади.</w:t>
            </w:r>
          </w:p>
        </w:tc>
      </w:tr>
      <w:tr>
        <w:trPr>
          <w:cantSplit w:val="1"/>
          <w:tblHeader w:val="0"/>
        </w:trPr>
        <w:tc>
          <w:tcPr>
            <w:vAlign w:val="top"/>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1.3.2. Розмістити туристичні навігації на в’їзді до Сквирської міської територіальної громади та ключових населених пунктів</w:t>
            </w:r>
          </w:p>
        </w:tc>
        <w:tc>
          <w:tcPr>
            <w:vMerge w:val="continue"/>
            <w:shd w:fill="cccccc" w:val="clear"/>
            <w:vAlign w:val="center"/>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Розвиток туристичних маршрутів Сквирщини, популяризація історико-культурної спадщини</w:t>
            </w:r>
          </w:p>
        </w:tc>
        <w:tc>
          <w:tcPr>
            <w:vAlign w:val="cente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даний час біл-борди та туристичні вказівники не розміщувалися. </w:t>
            </w:r>
            <w:r w:rsidDel="00000000" w:rsidR="00000000" w:rsidRPr="00000000">
              <w:rPr>
                <w:sz w:val="24"/>
                <w:szCs w:val="24"/>
                <w:rtl w:val="0"/>
              </w:rPr>
              <w:t xml:space="preserve">Д</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ля висвітлення інформації використовуються засоби соціальн</w:t>
            </w:r>
            <w:r w:rsidDel="00000000" w:rsidR="00000000" w:rsidRPr="00000000">
              <w:rPr>
                <w:sz w:val="24"/>
                <w:szCs w:val="24"/>
                <w:rtl w:val="0"/>
              </w:rPr>
              <w:t xml:space="preserve">их мереж та онлайн сторінки відділу культури, молоді і спорту.</w:t>
            </w:r>
          </w:p>
        </w:tc>
      </w:tr>
      <w:tr>
        <w:trPr>
          <w:cantSplit w:val="1"/>
          <w:tblHeader w:val="0"/>
        </w:trPr>
        <w:tc>
          <w:tcPr>
            <w:shd w:fill="cccccc" w:val="clear"/>
            <w:vAlign w:val="top"/>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1.3.3. Удосконалити туристичну інфраструктуру</w:t>
            </w:r>
          </w:p>
        </w:tc>
        <w:tc>
          <w:tcPr>
            <w:vMerge w:val="continue"/>
            <w:shd w:fill="cccccc" w:val="clear"/>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Модернізація міського народного краєзнавчого музею, збереження та популяризація історико-культурної спадщини</w:t>
            </w:r>
          </w:p>
        </w:tc>
        <w:tc>
          <w:tcPr>
            <w:shd w:fill="cccccc" w:val="clear"/>
            <w:vAlign w:val="cente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2021 року Сквирський міський народний краєзнавчий музей поповнився на 85 експонатів, у 2022 році кількість предметів основного фонду у музеї зросла на 98 одиниць і становить 3833 одиниці обліку. У електронному вигляді ведеться облік предметів основного фонду Сквирського міського народного краєзнавчого музею. Оцифрування не проводилося.</w:t>
            </w:r>
          </w:p>
        </w:tc>
      </w:tr>
      <w:tr>
        <w:trPr>
          <w:cantSplit w:val="1"/>
          <w:tblHeader w:val="0"/>
        </w:trPr>
        <w:tc>
          <w:tcPr>
            <w:vAlign w:val="top"/>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1.3.4. Розробити туристичну промопродукцію та туристичний розділ на офіційному сайті міської ради, організувати навчання власників «Зелених садиб»</w:t>
            </w:r>
          </w:p>
        </w:tc>
        <w:tc>
          <w:tcPr>
            <w:vMerge w:val="continue"/>
            <w:shd w:fill="cccccc" w:val="clear"/>
            <w:vAlign w:val="center"/>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Розвиток туристичних маршрутів Сквирщини, популяризація історико-культурної спадщини</w:t>
            </w:r>
          </w:p>
        </w:tc>
        <w:tc>
          <w:tcPr>
            <w:vAlign w:val="center"/>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2021 року Сквирський міський народний краєзнавчий музей відвідало близько 1500 осіб, проведено 200 екскурсій, 10 виставок, у 2022 році – 3700 осіб, проведено 187 екскурсій, організовано 11 виставок, підготовлено 2 наукових видання. Робота музею висвітлюється на офіційних сторінках музею, відділу культури, молоді і спорту та міської ради у мережі «Фейсбук».</w:t>
            </w:r>
          </w:p>
        </w:tc>
      </w:tr>
    </w:tbl>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lightGray"/>
          <w:u w:val="none"/>
          <w:vertAlign w:val="baseline"/>
          <w:rtl w:val="0"/>
        </w:rPr>
        <w:t xml:space="preserve">СТРАТЕГІЧНА ЦІЛЬ2: Послуги для населення за європейськими стандартами</w:t>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2.1. Оптимізація роботи комунальних підприємств громади, підвищення рівня безпеки в громаді, у тому числі - екологічної</w:t>
      </w:r>
      <w:r w:rsidDel="00000000" w:rsidR="00000000" w:rsidRPr="00000000">
        <w:rPr>
          <w:rtl w:val="0"/>
        </w:rPr>
      </w:r>
    </w:p>
    <w:tbl>
      <w:tblPr>
        <w:tblStyle w:val="Table4"/>
        <w:tblW w:w="15423.000000000002"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122"/>
        <w:gridCol w:w="2693"/>
        <w:gridCol w:w="2127"/>
        <w:gridCol w:w="8481"/>
        <w:tblGridChange w:id="0">
          <w:tblGrid>
            <w:gridCol w:w="2122"/>
            <w:gridCol w:w="2693"/>
            <w:gridCol w:w="2127"/>
            <w:gridCol w:w="8481"/>
          </w:tblGrid>
        </w:tblGridChange>
      </w:tblGrid>
      <w:tr>
        <w:trPr>
          <w:cantSplit w:val="0"/>
          <w:tblHeader w:val="0"/>
        </w:trPr>
        <w:tc>
          <w:tcPr>
            <w:tcBorders>
              <w:bottom w:color="666666" w:space="0" w:sz="12" w:val="single"/>
            </w:tcBorders>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2.1.1.</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Осучаснити діяльність комунальних підприємств за інноваційними підходами надання послуг для населення;</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Створити та впровадити систему надання комунальних послуг максимально наближену до потреб населення</w:t>
            </w:r>
          </w:p>
        </w:tc>
        <w:tc>
          <w:tcPr>
            <w:shd w:fill="cccccc" w:val="clear"/>
            <w:vAlign w:val="top"/>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ефективної роботи та реформування ЖКГ Сквирської міської територіальної громади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централізованого водопостачання та водовідведення на 2022 рік</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top"/>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Запроваджена система звітності та бізнес-планів для КП,</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розроблена прозора система тарифів на комунальні послуги з проведенням роз’яснювальної роботи серед населення,</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оновлено 2 одиниці техніки;</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Впроваджено електронну</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автоматизовану система надання комунальних послуг</w:t>
            </w:r>
          </w:p>
        </w:tc>
        <w:tc>
          <w:tcPr>
            <w:shd w:fill="cccccc" w:val="clear"/>
            <w:vAlign w:val="top"/>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метою здійснення контролю за фінансово-господарською діяльністю підприємств комунальної власності Сквирської міської ради, підвищення ефективності їх діяльності, відповідно до прийнятого радою рішення Сквирської міської ради від 23.02.2021 № 28-5-VIII «Про затвердження Порядку складання, затвердження та контролю виконання фінансових планів підприємств комунальної власності Сквирської міської ради» запроваджено звітування та затвердження фінансових планів підприємств за підсумками півріччя.</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Коригування та затвердження тарифів на надання послуг в сфері водопостачання та водовідведення, а також послуг з поводження ТПВ реалізовується відповідно до затвердженого чинного законодавства.</w:t>
            </w:r>
          </w:p>
        </w:tc>
      </w:tr>
      <w:tr>
        <w:trPr>
          <w:cantSplit w:val="0"/>
          <w:tblHeader w:val="0"/>
        </w:trPr>
        <w:tc>
          <w:tcPr>
            <w:vAlign w:val="top"/>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2.1.2.</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Підвищити рівень екологічної безпеки</w:t>
            </w:r>
          </w:p>
        </w:tc>
        <w:tc>
          <w:tcPr>
            <w:vAlign w:val="center"/>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природоохоронних заходів Сквирської МТГ на 2022-2025 роки </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Комплексна Програма поводження з ТПВ; проведенняекоаудиту, оцінки впливу на довкілля, стратегічну екологічну оцінку;</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система роздільного збору ТПВ та його сортування</w:t>
            </w:r>
          </w:p>
        </w:tc>
        <w:tc>
          <w:tcPr>
            <w:vAlign w:val="center"/>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2021 році за бюджетні кошти громади придбано сміттєвоз  з боковим завантаженням вартістю 1740,0 тис грн.</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2022 році КП «Сквирське комунальне господарство» отримано проєкт землеустрою щодо відведення земельної ділянки у постійне користування під розміщення існуючого полігону твердих побутових відходів (11,02га) для розміщення та експлуатації основних, підсобних і допоміжних будівель та споруд підприємств переробної, машинобудівної та іншої промисловості із земель не наданих у власність чи користування в межах території Сквирської міської територіальної громади, вартість якого склала 233,6 тис. грн.</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2.1.3. Розширити мережу встановлених камер відеоспос-тереження, дорожніх знаків</w:t>
            </w:r>
          </w:p>
        </w:tc>
        <w:tc>
          <w:tcPr>
            <w:shd w:fill="cccccc" w:val="clear"/>
            <w:vAlign w:val="center"/>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утримання та розвитку дорожнього господарства Сквирської міської територіальної громади на 2021-2025 роки </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Сквирської міської ради з профілактики злочинності на 2021- 2023 роки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Встановлено камери відеоспостереження та дорожні знаки</w:t>
            </w:r>
          </w:p>
        </w:tc>
        <w:tc>
          <w:tcPr>
            <w:shd w:fill="cccccc" w:val="clear"/>
            <w:vAlign w:val="center"/>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2021 році придбано та встановлено комплекс відеоспостереження на міському сміттєзвалищі вартістю 49,8 тис. грн.</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КП «Благоустрій» у 2021 році закуплено та встановлено дві камери відеоспостереження на перехрестях вулиць Соборна-Ш.Алейшема та вулиць</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Київська-Тараса Шевченка. Загальна вартість 15,8 тис.грн</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2.2. Якісні та доступні муніципальні та освітні послуги</w:t>
      </w:r>
      <w:r w:rsidDel="00000000" w:rsidR="00000000" w:rsidRPr="00000000">
        <w:rPr>
          <w:rtl w:val="0"/>
        </w:rPr>
      </w:r>
    </w:p>
    <w:tbl>
      <w:tblPr>
        <w:tblStyle w:val="Table5"/>
        <w:tblW w:w="15405.0" w:type="dxa"/>
        <w:jc w:val="left"/>
        <w:tblInd w:w="-108.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410"/>
        <w:gridCol w:w="2693"/>
        <w:gridCol w:w="2127"/>
        <w:gridCol w:w="8175"/>
        <w:tblGridChange w:id="0">
          <w:tblGrid>
            <w:gridCol w:w="2410"/>
            <w:gridCol w:w="2693"/>
            <w:gridCol w:w="2127"/>
            <w:gridCol w:w="8175"/>
          </w:tblGrid>
        </w:tblGridChange>
      </w:tblGrid>
      <w:tr>
        <w:trPr>
          <w:cantSplit w:val="0"/>
          <w:tblHeader w:val="0"/>
        </w:trPr>
        <w:tc>
          <w:tcPr>
            <w:tcBorders>
              <w:bottom w:color="000000" w:space="0" w:sz="4" w:val="single"/>
            </w:tcBorders>
            <w:vAlign w:val="center"/>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0"/>
          <w:tblHeader w:val="0"/>
        </w:trPr>
        <w:tc>
          <w:tcPr>
            <w:tcBorders>
              <w:bottom w:color="000000" w:space="0" w:sz="4" w:val="single"/>
            </w:tcBorders>
            <w:shd w:fill="cccccc" w:val="clear"/>
            <w:vAlign w:val="cente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2.2.1. Будівництво ДІЯ Центру у м. Сквира</w:t>
            </w:r>
          </w:p>
        </w:tc>
        <w:tc>
          <w:tcPr>
            <w:tcBorders>
              <w:bottom w:color="000000" w:space="0" w:sz="4" w:val="single"/>
            </w:tcBorders>
            <w:shd w:fill="cccccc" w:val="clear"/>
            <w:vAlign w:val="center"/>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будівництва, реконструкції та ремонту об’єктів інфраструктури Сквирської міської територіальної громади на 2022-2027 роки</w:t>
            </w:r>
          </w:p>
        </w:tc>
        <w:tc>
          <w:tcPr>
            <w:tcBorders>
              <w:bottom w:color="000000" w:space="0" w:sz="4" w:val="single"/>
            </w:tcBorders>
            <w:shd w:fill="cccccc" w:val="clear"/>
            <w:vAlign w:val="center"/>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Створення та функціонування</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сучасної інфраструктури надання</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адміністративних послуг</w:t>
            </w: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4" w:val="single"/>
            </w:tcBorders>
            <w:shd w:fill="cccccc" w:val="clear"/>
            <w:vAlign w:val="center"/>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виготовлення проектно-кошторисної документації по будівництву Центру надання адміністративних послуг по вул. Соборна, 16 в м. Сквира Київської області у 2021 році спрямовано 702 370,00 грн.</w:t>
            </w:r>
          </w:p>
        </w:tc>
      </w:tr>
      <w:tr>
        <w:trPr>
          <w:cantSplit w:val="1"/>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2.2.2. Створити віддалені робочі місця ЦНАП в селах громади</w:t>
            </w:r>
          </w:p>
        </w:tc>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Впровадження інформаційних систем «ВУЛИК»</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«Центр Дія»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Створено умов для самообслуговування та обслуговування громадян старостами в селах громади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Завдання виконано у першому кварталі 2022. Рішенням Сквирської міської ради від 23.02.2021 №41-5-VІІІ «Про надання повноважень старостам  Сквирської міської ради на здійснення окремих функцій адміністратора Центру надання адміністративних послуг Сквирської міської ради» старостам надані повноваження на здійснення окремих функцій адміністратора Центру надання адміністративних послуг Сквирської міської ради, пов’язані з отриманням заяви та вхідного пакету документів, видачею результатів надання адміністративних послуг та підключено до інформаційної системи «ВУЛИК»</w:t>
            </w:r>
          </w:p>
        </w:tc>
      </w:tr>
      <w:tr>
        <w:trPr>
          <w:cantSplit w:val="1"/>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2.2.3. Розширити перелік адміністративних послуг та підвищити якість їх надання</w:t>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Розширений перелік надання адміністративних послуг</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Завдання виконано у першому кварталі 2022. Рішенням виконавчого комітету Сквирської міської ради від 07.12.2021 № 7/28 «Про визначення Переліку адміністративних послуг, які надаються у Центрі надання </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адміністративних послуг» визначено Перелік адміністративних та інших послуг, які надаються у Центрі надання адміністративних послуг Сквирської міської ради та через його віддалені робочі місця у кількості 262 адміністративні послуги. Всі послуги внесені до інформаційної системи «ВУЛИК»</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2.2.4. Забезпечити діяльність поліцейських станцій у двох старостинських округах</w:t>
            </w:r>
          </w:p>
        </w:tc>
        <w:tc>
          <w:tcPr>
            <w:tcBorders>
              <w:left w:color="000000" w:space="0" w:sz="4" w:val="single"/>
              <w:right w:color="000000" w:space="0" w:sz="4" w:val="single"/>
            </w:tcBorders>
            <w:vAlign w:val="cente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Поліцейський офіцер громади на 2022-2025 роки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Поліцейські станції з власними офіцерами та службовими автомобілями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придбання службового автомобіля для поліцейського офіцера громади у 2022 році з місцевого бюджету  спрямовано 610 000,00 грн.</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с. Шамраївка 2 лютого 2023 року відкрито поліцейську станцію, яка на сучасному рівні забезпечуватиме правопорядок у 14-ти </w:t>
            </w:r>
            <w:r w:rsidDel="00000000" w:rsidR="00000000" w:rsidRPr="00000000">
              <w:rPr>
                <w:sz w:val="24"/>
                <w:szCs w:val="24"/>
                <w:rtl w:val="0"/>
              </w:rPr>
              <w:t xml:space="preserve">навколишніх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селах.</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Відкриття поліцейської станції – перший і надзвичайно важливий крок у впровадженні проєкту «Поліцейський офіцер громади» на території Сквирщини. Створення такої станції полегшить людям доступ до поліцейських послуг, а також сприятиме покращенню безпекової ситуації на території Сквирської громади.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2.2.5. Запровадити інноваційні форми та методи навчання у співпраці з бізнесом в напрямку професійно-технічної освіти</w:t>
            </w:r>
          </w:p>
        </w:tc>
        <w:tc>
          <w:tcPr>
            <w:tcBorders>
              <w:left w:color="000000" w:space="0" w:sz="4" w:val="single"/>
              <w:right w:color="000000" w:space="0" w:sz="4" w:val="single"/>
            </w:tcBorders>
            <w:vAlign w:val="cente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системи освіти Сквирської міської територіальної громади на 2021-2023 роки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Налагоджено дієву комунікацію та співпрацю із підприємцями щодо їх вимог до кількості і відповідної кваліфікації працівників на постійній основі</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Забезпечено координацію та співпрацю всіх соціальних інституцій, навчальних закладів, організацій, установ та окремих учасників профорієнтаційного процесу в межах громади, а саме: дошкільних, закладів загальної середньої освіти, позашкільних, професійно-технічних закладів, центрів зайнятості, закладів охорони здоров’я, засобів масової інформації, батьків та інших.</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Забезпечено наступність, цілеспрямованість та безперервність профорієнтаційної роботи у закладах загальної середньої освіти; застосовуються сучасні інноваційні технології для профорієнтації учнівської молоді.</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Проводиться  підготовка педагогічних працівників до проведення профорієнтаційної роботи.</w:t>
            </w:r>
          </w:p>
        </w:tc>
      </w:tr>
    </w:tbl>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rtl w:val="0"/>
        </w:rPr>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2.3. Покращення стандартів медичного обслуговування населення громади</w:t>
      </w:r>
      <w:r w:rsidDel="00000000" w:rsidR="00000000" w:rsidRPr="00000000">
        <w:rPr>
          <w:rtl w:val="0"/>
        </w:rPr>
      </w:r>
    </w:p>
    <w:tbl>
      <w:tblPr>
        <w:tblStyle w:val="Table6"/>
        <w:tblW w:w="15489.0"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131"/>
        <w:gridCol w:w="2705"/>
        <w:gridCol w:w="2136"/>
        <w:gridCol w:w="8517"/>
        <w:tblGridChange w:id="0">
          <w:tblGrid>
            <w:gridCol w:w="2131"/>
            <w:gridCol w:w="2705"/>
            <w:gridCol w:w="2136"/>
            <w:gridCol w:w="8517"/>
          </w:tblGrid>
        </w:tblGridChange>
      </w:tblGrid>
      <w:tr>
        <w:trPr>
          <w:cantSplit w:val="0"/>
          <w:trHeight w:val="1433" w:hRule="atLeast"/>
          <w:tblHeader w:val="0"/>
        </w:trPr>
        <w:tc>
          <w:tcPr>
            <w:tcBorders>
              <w:bottom w:color="666666" w:space="0" w:sz="12" w:val="single"/>
            </w:tcBorders>
            <w:vAlign w:val="cente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0"/>
          <w:trHeight w:val="577" w:hRule="atLeast"/>
          <w:tblHeader w:val="0"/>
        </w:trPr>
        <w:tc>
          <w:tcPr>
            <w:shd w:fill="cccccc" w:val="clear"/>
            <w:vAlign w:val="top"/>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2.3.1.</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Оновити матеріально-технічну базу закладів охорони здоров’я</w:t>
            </w:r>
          </w:p>
        </w:tc>
        <w:tc>
          <w:tcPr>
            <w:tcBorders>
              <w:top w:color="000000" w:space="0" w:sz="4" w:val="single"/>
            </w:tcBorders>
            <w:shd w:fill="cccccc" w:val="clear"/>
            <w:vAlign w:val="center"/>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та підтримки комунального некомерційного підприємства «Сквирська центральна міська лікарня» на 2021-2022 роки </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Цільова програма розвитку та фінансової підтримки комунального некомерційного підприємства «Сквирський міський центр медико-санітарної допомоги» на 2022-2025 роки</w:t>
            </w:r>
            <w:r w:rsidDel="00000000" w:rsidR="00000000" w:rsidRPr="00000000">
              <w:rPr>
                <w:rtl w:val="0"/>
              </w:rPr>
            </w:r>
          </w:p>
        </w:tc>
        <w:tc>
          <w:tcPr>
            <w:tcBorders>
              <w:top w:color="000000" w:space="0" w:sz="4" w:val="single"/>
            </w:tcBorders>
            <w:shd w:fill="cccccc" w:val="clear"/>
            <w:vAlign w:val="center"/>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Оновлено до сучасних вимог матеріально-технічну базу, закуплено медичне обладнання</w:t>
            </w:r>
          </w:p>
        </w:tc>
        <w:tc>
          <w:tcPr>
            <w:shd w:fill="cccccc" w:val="clear"/>
            <w:vAlign w:val="center"/>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Постійно проводяться за підтримки власника поточні ремонти відділень, прибудинкової території, палат для перебування пацієнтів. Протягом 2022 року проведено ремонт прибудинкової території педіатричного відділення, поліклінічного відділення, 3 кабінетів поліклінічного відділення, проведено ремонт реанімаційного відділення, проводяться поточні ремонти палат неврологічного, педіатричного та хірургічного відділень. Проведено реконструкцію теплотраси хірургічного корпусу, що дало можливість підтримувати температурний режим у місцях перебування пацієнтів у межах норми.</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роботи по монтажу системи протипожежної сигналізації у поліклінічному корпусі (кошти міського бюджету).</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Постійно проводиться робота щодо покращення матеріально-технічної бази закладу. Протягом 2022 року у вигляді благодійної допомоги отримано 5 апаратів ШВЛ, хірургічний інструментарій, хірургічне коагуляційне обладнання та обладнання для лазерної хірургії, операційний стіл та малий рентгенологічний апарат по типу C-дуга, 5 генераторів. У 2022 році придбано відеогістероскоп, що дало можливість підписати додатковий договір з НСЗУ.</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Основна увага у 2022 році була зосереджена на реорганізації роботи рентгенологічного підрозділу, адже там використовувались застарілі аналогові рентгенапарати. На сьогодні, згідно </w:t>
            </w:r>
            <w:r w:rsidDel="00000000" w:rsidR="00000000" w:rsidRPr="00000000">
              <w:rPr>
                <w:sz w:val="24"/>
                <w:szCs w:val="24"/>
                <w:rtl w:val="0"/>
              </w:rPr>
              <w:t xml:space="preserve">розподілу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МОЗ, заклад отримав 2 рентгенологічні апарати цифрові та було здійснено закупівлю цифрового рентгенологічного апарата стаціонарного (2,9 млн. – власні кошти підприємства, 1 млн. – кошти міської ради), що буде використовуватись у стаціонарному корпусі і дасть можливість у рази покращити якість діагностики хірургічної, терапевтичної та онкологічної патології. </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2021 році, за підтримки Сквирської міської ради, були відкриті дві нові сучасні амбулаторії ЗПСМ в с. Шамраївка і с.Пустоварівка. Амбулаторії ЗПСМ отримали два нових автомобілі Daster для амбулаторного обслуговування населення лікарем на дому, два апарата  ЕКГ, ростоміри, ваги для дорослих, ваги для дітей, комп’ютерну техніку - ноутбуки та МФУ, лабораторні аналізатори сечі, медичні меблі.</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Оновлено до сучасних вимог матеріально-технічні бази амбулаторій загальної практики сімейної медицини: отримано п’ять комплектів обладнання, яке необхідне  для телемедичних консультацій, щоб наблизити медичні послуги до хворих навіть у найвіддаленіших населених пунктах, медичні працівники пройшли навчання та розпочали користування телемедичним обладнанням.</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Рішенням Сквирської міської ради № 46-5-УШ від 23 лютого 2021 року «Про передачу майна в оперативне управління та на баланс Комунального некомерційного підприємства Сквирської міської ради «Сквирський міський центр первинної медико-санітарної допомоги» було передано майно на праві комунальної власності територіальної громади в особі Сквирської міської ради, а саме: АЗПСМ та ФП/ФАП, машини, обладнання та меблі для медичних працівників в м. Сквира та селах територіальної громади. </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Рішенням Сквирської міської ради № 50-12-УШ від 30 вересня 2021 року «Про надання дозволу на передачу майна, що перебуває в оперативному управлінні та на балансі комунального некомерційного підприємства Сквирської міської ради «Сквирська центральна міська лікарня» (код ЄДРПОУ  01994190), в оперативне управління та на баланс комунального некомерційного підприємства Сквирської міської ради «Сквирський міський центр первинної медико-санітарної допомоги» (код ЄДРПОУ 38500755) були передані відокремлені приміщення КНП СМР «Сквирська центральна міська лікарня», розташовані за адресою  вул.Київська,12 в оперативне управління центру.</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рахунок коштів державного бюджету оновлено матеріальну базу амбулаторій ЗПСМ: отримано 9 холодильників, 15 термосумок, 8 ноутбуків, закуплено ваги, ростомітри, комп’ютерна техніка та інше. </w:t>
            </w:r>
            <w:r w:rsidDel="00000000" w:rsidR="00000000" w:rsidRPr="00000000">
              <w:rPr>
                <w:rtl w:val="0"/>
              </w:rPr>
            </w:r>
          </w:p>
        </w:tc>
      </w:tr>
      <w:tr>
        <w:trPr>
          <w:cantSplit w:val="0"/>
          <w:trHeight w:val="150" w:hRule="atLeast"/>
          <w:tblHeader w:val="0"/>
        </w:trPr>
        <w:tc>
          <w:tcPr>
            <w:vAlign w:val="top"/>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2.3.3.</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Впровадження нових напрямків надання медичної допомоги, зокрема малоінвазивної хірургії</w:t>
            </w:r>
          </w:p>
        </w:tc>
        <w:tc>
          <w:tcPr>
            <w:tcBorders>
              <w:top w:color="000000" w:space="0" w:sz="0" w:val="nil"/>
            </w:tcBorders>
            <w:vAlign w:val="cente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та підтримки комунального некомерційного підприємства «Сквирська центральна міська лікарня» на 2021-2022 роки</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Цільова програма розвитку та фінансової підтримки комунального некомерційного підприємства «Сквирський міський центр медико-санітарної допомоги» на 2022-2025 роки</w:t>
            </w:r>
            <w:r w:rsidDel="00000000" w:rsidR="00000000" w:rsidRPr="00000000">
              <w:rPr>
                <w:rtl w:val="0"/>
              </w:rPr>
            </w:r>
          </w:p>
        </w:tc>
        <w:tc>
          <w:tcPr>
            <w:vAlign w:val="center"/>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Підготовлений лікарський персонал</w:t>
            </w:r>
          </w:p>
        </w:tc>
        <w:tc>
          <w:tcPr>
            <w:vAlign w:val="center"/>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2022 році забезпечено роботу нового напрямку надання медичної допомоги - малоінвазивні хірургічні лапароскопічні оперативні втручання. Медичну допомогу із застосуванням даного методу хірургічного лікування отримують також жителі сусідніх громад.</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2022 році продовжувалася співпраця КНП СМР Сквирський МЦПМСД» з Національною службою здоров’я. Так було заключено вже два пакети медичної допомоги за програмою медичних гарантій з 2022 р., а саме: «Первинна медична допомога», «Супровід і лікування дорослих та дітей, хворих на туберкульоз на первинному рівні медичної допомоги». </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підвищення якості медичних послуг було впроваджено платні послуги затверджені рішенням Сквирської міської ради від 12 липня 2022 р. № 05-23-УШ «Про затвердження рівня рентабельності та Положення про платні медичні послуги, що надаються комунальним некомерційним підприємством Сквирської міської ради «Сквирський міський центр первинної медико-санітарної допомоги». </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6" w:right="0" w:firstLine="707.999999999999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2.4. Підвищення якості надання послуг у сфері культури</w:t>
      </w:r>
      <w:r w:rsidDel="00000000" w:rsidR="00000000" w:rsidRPr="00000000">
        <w:rPr>
          <w:rtl w:val="0"/>
        </w:rPr>
      </w:r>
    </w:p>
    <w:tbl>
      <w:tblPr>
        <w:tblStyle w:val="Table7"/>
        <w:tblW w:w="15421.999999999998"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122"/>
        <w:gridCol w:w="2669"/>
        <w:gridCol w:w="2126"/>
        <w:gridCol w:w="8505"/>
        <w:tblGridChange w:id="0">
          <w:tblGrid>
            <w:gridCol w:w="2122"/>
            <w:gridCol w:w="2669"/>
            <w:gridCol w:w="2126"/>
            <w:gridCol w:w="8505"/>
          </w:tblGrid>
        </w:tblGridChange>
      </w:tblGrid>
      <w:tr>
        <w:trPr>
          <w:cantSplit w:val="0"/>
          <w:tblHeader w:val="0"/>
        </w:trPr>
        <w:tc>
          <w:tcPr>
            <w:tcBorders>
              <w:bottom w:color="666666" w:space="0" w:sz="12" w:val="single"/>
            </w:tcBorders>
            <w:vAlign w:val="cente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 w:right="-108"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1"/>
          <w:tblHeader w:val="0"/>
        </w:trPr>
        <w:tc>
          <w:tcPr>
            <w:shd w:fill="cccccc" w:val="clear"/>
            <w:vAlign w:val="top"/>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2.4.1. Перенесення міського народного краєзнавчого музею, міської публічної бібліотеки в інше приміщення та облаштування відкритого бібліотечного простору</w:t>
            </w:r>
          </w:p>
        </w:tc>
        <w:tc>
          <w:tcPr>
            <w:vMerge w:val="restart"/>
            <w:shd w:fill="cccccc" w:val="clear"/>
            <w:vAlign w:val="center"/>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культури у Сквирській міській територіальній громаді на 2021-2025 роки</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Підвищення культурного рівня мешканців громади</w:t>
            </w:r>
          </w:p>
        </w:tc>
        <w:tc>
          <w:tcPr>
            <w:shd w:fill="cccccc" w:val="clear"/>
            <w:vAlign w:val="cente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Рішенням Сквирської міської ради для покращення роботи Сквирської центральної міської і центральної дитячої бібліотек виділено приміщення по вул. Соборній 38 в м. Сквира. Триває перенесення фондів та облаштування нового відкритого культурного простору.</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2.4.2. Оптимізація мережі та реформування сільських будинків культури (клубів) та сільських бібліотек у сучасні культурні простори (хаби, центри, тощо)</w:t>
            </w:r>
          </w:p>
        </w:tc>
        <w:tc>
          <w:tcPr>
            <w:vMerge w:val="continue"/>
            <w:shd w:fill="cccccc" w:val="clear"/>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Підвищення активності мешканців в культурному житті громади</w:t>
            </w:r>
          </w:p>
        </w:tc>
        <w:tc>
          <w:tcPr>
            <w:vAlign w:val="center"/>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Прийнято рішення сесії міської ради від 06.12.2022 № 41-27-VIII «Про намір реорганізації установ відділу культури, молоді і спорту Сквирської міської ради», документи подано до Міністерства культури та інформаційної політики України та до Державного агентства України з питань мистецтв та мистецької освіти. Листом Міністерства від 20.02.2023 № 06/12/1603-23 погоджено намір реорганізації бібліотек. Рішення про реорганізацію та внесення змін у базову мережу подано на сесію.</w:t>
            </w:r>
          </w:p>
        </w:tc>
      </w:tr>
      <w:tr>
        <w:trPr>
          <w:cantSplit w:val="1"/>
          <w:tblHeader w:val="0"/>
        </w:trPr>
        <w:tc>
          <w:tcPr>
            <w:shd w:fill="cccccc" w:val="clear"/>
            <w:vAlign w:val="top"/>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2.4.3. Проведення та просування фестивалів, ярмарків, підтримка хорових, вокально-інструментальни, танцювальних, естрадних та аматорських колективів</w:t>
            </w:r>
          </w:p>
        </w:tc>
        <w:tc>
          <w:tcPr>
            <w:vMerge w:val="continue"/>
            <w:shd w:fill="cccccc" w:val="clear"/>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Збільшення кількості проведених заходів та учасників від громади у обласних, всеукраїнських, міжнародних конкурсах та фестивалях</w:t>
            </w:r>
          </w:p>
        </w:tc>
        <w:tc>
          <w:tcPr>
            <w:shd w:fill="cccccc" w:val="clear"/>
            <w:vAlign w:val="center"/>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Структурними підрозділами відділу культури, молоді і спорту проведено за 2021 рік 1359 культурно-дозвіллєвих заходів і акцій, за 2022 рік 3442 цікавих, змістовних, різнопланових культурно-дозвіллєвих заходів і акцій, найяскравіші з них: конкурсу читців-аматорів «Натхненна душа Кобзаря», дитячий фестиваль виконавців естрадної пісні «Перший крок», «Парк вихідного дня», міський фестиваль військово-патріотичної творчості «Пам'ять серця», День вишиванки, фольклорний фестиваль «Різдвяна зірка», фестиваль «Чарівна ліра». </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Учні Сквирської дитячої школи мистецтв, аматори централізованої клубної системи та читачі централізованої бібліотечної системи протягом 2021 року взяли участь у місцевих, 11 обласних, 6 Всеукраїнських, 18 Міжнародних фестивалях і конкурсах, 60 учасників стали призерами і лауреатами; протягом 2022 року – у місцевих, 12 обласних, 5 Всеукраїнських, 8 Міжнародних фестивалях і конкурсах, 82 стали призерами та лауреатами.</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8 установах централізованої бібліотечної системи діють різновікові клуби за інтересами, при 4 бібліотеках функціонують розмовні клуби української мови. У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централізованій клубній системі громади активно працюють 93 клубних формувань та клубів за інтересами, з яких 6 аматорських колективів зі званням «народний». У дитячій школі мистецтв – 1 дитячий хореографічний колектив зі званням «зразковий». </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Одним із досягнень культури громади у 2022 році є присвоєння 4 колективам Сквирщини почесного звання «народний» та «зразковий», наказом директора департаменту культури та туризму Київської ОДА звання «народний» отримали 3 аматорські колективи та звання «зразковий» 1  дитячий вокальний ансамбль.</w:t>
            </w:r>
          </w:p>
        </w:tc>
      </w:tr>
      <w:tr>
        <w:trPr>
          <w:cantSplit w:val="1"/>
          <w:tblHeader w:val="0"/>
        </w:trPr>
        <w:tc>
          <w:tcPr>
            <w:vAlign w:val="top"/>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2.4.4. Збільшення спроможності закладів культури надавати платні послуги</w:t>
            </w:r>
          </w:p>
        </w:tc>
        <w:tc>
          <w:tcPr>
            <w:vMerge w:val="restart"/>
            <w:tcBorders>
              <w:top w:color="000000" w:space="0" w:sz="0" w:val="nil"/>
            </w:tcBorders>
            <w:vAlign w:val="cente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розвитку культури у Сквирській міській територіальній громаді на 2021-2025 роки</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ff0000"/>
                <w:sz w:val="24"/>
                <w:szCs w:val="24"/>
                <w:highlight w:val="yellow"/>
                <w:u w:val="none"/>
                <w:vertAlign w:val="baseline"/>
              </w:rPr>
            </w:pPr>
            <w:r w:rsidDel="00000000" w:rsidR="00000000" w:rsidRPr="00000000">
              <w:rPr>
                <w:rtl w:val="0"/>
              </w:rPr>
            </w:r>
          </w:p>
        </w:tc>
        <w:tc>
          <w:tcPr>
            <w:vAlign w:val="center"/>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Підвищення культурного рівня мешканців громади, збільшення надходження спецфонду</w:t>
            </w:r>
          </w:p>
        </w:tc>
        <w:tc>
          <w:tcPr>
            <w:vAlign w:val="center"/>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Платні послуги не надавалися.</w:t>
            </w:r>
          </w:p>
        </w:tc>
      </w:tr>
      <w:tr>
        <w:trPr>
          <w:cantSplit w:val="1"/>
          <w:tblHeader w:val="0"/>
        </w:trPr>
        <w:tc>
          <w:tcPr>
            <w:shd w:fill="cccccc" w:val="clear"/>
            <w:vAlign w:val="top"/>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2.4.5. Оцифрування музею</w:t>
            </w:r>
          </w:p>
        </w:tc>
        <w:tc>
          <w:tcPr>
            <w:vMerge w:val="continue"/>
            <w:tcBorders>
              <w:top w:color="000000" w:space="0" w:sz="0" w:val="nil"/>
            </w:tcBorders>
            <w:vAlign w:val="center"/>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електронному вигляді ведеться облік предметів основного фонду Сквирського міського народного краєзнавчого музею. Оцифрування музею не проводилося.</w:t>
            </w:r>
          </w:p>
        </w:tc>
      </w:tr>
    </w:tbl>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highlight w:val="lightGray"/>
          <w:u w:val="none"/>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lightGray"/>
          <w:u w:val="none"/>
          <w:vertAlign w:val="baseline"/>
          <w:rtl w:val="0"/>
        </w:rPr>
        <w:t xml:space="preserve">СТРАТЕГІЧНА ЦІЛЬ 3: Сучасна і функціональна інфраструктура та громадський простір для осіб з інвалідністю</w:t>
      </w:r>
      <w:r w:rsidDel="00000000" w:rsidR="00000000" w:rsidRPr="00000000">
        <w:rPr>
          <w:rtl w:val="0"/>
        </w:rPr>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3.1. Модернізація інфраструктури громади</w:t>
      </w:r>
      <w:r w:rsidDel="00000000" w:rsidR="00000000" w:rsidRPr="00000000">
        <w:rPr>
          <w:rtl w:val="0"/>
        </w:rPr>
      </w:r>
    </w:p>
    <w:tbl>
      <w:tblPr>
        <w:tblStyle w:val="Table8"/>
        <w:tblW w:w="15422.0"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123"/>
        <w:gridCol w:w="2668"/>
        <w:gridCol w:w="2126"/>
        <w:gridCol w:w="8505"/>
        <w:tblGridChange w:id="0">
          <w:tblGrid>
            <w:gridCol w:w="2123"/>
            <w:gridCol w:w="2668"/>
            <w:gridCol w:w="2126"/>
            <w:gridCol w:w="8505"/>
          </w:tblGrid>
        </w:tblGridChange>
      </w:tblGrid>
      <w:tr>
        <w:trPr>
          <w:cantSplit w:val="0"/>
          <w:tblHeader w:val="0"/>
        </w:trPr>
        <w:tc>
          <w:tcPr>
            <w:tcBorders>
              <w:bottom w:color="000000" w:space="0" w:sz="4" w:val="single"/>
            </w:tcBorders>
            <w:vAlign w:val="center"/>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 w:right="-108"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shd w:fill="cccccc" w:val="clear"/>
            <w:vAlign w:val="top"/>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3.1.1. Провести капітальний ремонт та/або реконструкцію закладів освіти, медицини, культури та спорту із впровадженням енергоефективних та енергозберігаючих  технологій</w:t>
            </w:r>
          </w:p>
        </w:tc>
        <w:tc>
          <w:tcPr>
            <w:vMerge w:val="restart"/>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будівництва, реконструкції та ремонту об’єктів інфраструктури Сквирської міської територіальної громади</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2022-2027 роки</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Створені комфортні  умови для навчання, оздоровлення та лікування, культурного відпочинку та занять спорту</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Протягом 2021 року: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здійснено </w:t>
            </w:r>
            <w:r w:rsidDel="00000000" w:rsidR="00000000" w:rsidRPr="00000000">
              <w:rPr>
                <w:sz w:val="24"/>
                <w:szCs w:val="24"/>
                <w:rtl w:val="0"/>
              </w:rPr>
              <w:t xml:space="preserve">заміну вікон</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Сквирського академічного ліцею ;</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з</w:t>
            </w:r>
            <w:r w:rsidDel="00000000" w:rsidR="00000000" w:rsidRPr="00000000">
              <w:rPr>
                <w:sz w:val="24"/>
                <w:szCs w:val="24"/>
                <w:rtl w:val="0"/>
              </w:rPr>
              <w:t xml:space="preserve">аміну вікон та утеплення фасаду</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Сквирського міського центру дитячої та юнацької творчості - з(1495,0 тис.грн.);</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виконані роботи з облаштування системи протипожежної сигналізації, системи керування евакуюванням, системи передавання тривожних сповіщень у Сквирському академічному ліцеї, влаштовано захист приміщення від прямих попадань блискавки та влаштовано протипожежні аварійні виходи на горище;</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проведені роботи з облаштування системи протипожежної сигналізації, системи керування евакуюванням, системи передавання тривожних сповіщень в Пустоварівському НВК</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роботи завершені в січні 2022 року;</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капітальний ремонт покрівлі міського будинку культури </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Протягом 2022 року:</w:t>
            </w:r>
            <w:r w:rsidDel="00000000" w:rsidR="00000000" w:rsidRPr="00000000">
              <w:rPr>
                <w:sz w:val="24"/>
                <w:szCs w:val="24"/>
                <w:u w:val="singl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капітальний ремонт харчоблоку Сквирського академічного ліцею;</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капітальний ремонт системи пожежної сигналізації закладів освіти  - Сквирського навчально-виховного комплексу «Заклад загальної середньої освіти І-ІІІ ст. №5 – заклад дошкільної освіти», Самгородоцького навчально-виховного комплексу «Заклад загальної середньої освіти І-ІІІ ступенів – заклад дошкільної освіти», Кривошиїнського навчально-виховного комплексу  «Заклад загальної середньої освіти І-ІІІ ступенів – заклад дошкільної освіти», будівлі Сквирської </w:t>
            </w:r>
            <w:r w:rsidDel="00000000" w:rsidR="00000000" w:rsidRPr="00000000">
              <w:rPr>
                <w:sz w:val="24"/>
                <w:szCs w:val="24"/>
                <w:rtl w:val="0"/>
              </w:rPr>
              <w:t xml:space="preserve">ДЮСШ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будинку культури с.Кривошиїнці (1526,872 тис.грн).</w:t>
            </w:r>
          </w:p>
        </w:tc>
      </w:tr>
      <w:tr>
        <w:trPr>
          <w:cantSplit w:val="1"/>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3.1.2.</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Оновити матеріально-технічну базу закладів освіти, медицини, культури та спорту</w:t>
            </w:r>
          </w:p>
        </w:tc>
        <w:tc>
          <w:tcPr>
            <w:vMerge w:val="continue"/>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4"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Оновлено до сучасних вимог матеріально-технічну базу освіти, культури, медицини, фізичної культури та спорту</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Заклади освіти отримали 144 ноутбуки від фундації Олени Зеленської, 14 ноутбуків, та 6 системних блоків (447000,00 грн. за кошти освітньої субвенції), 11 принтерів (87450,00 грн. за кошти освітньої субвенції).</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Придбано: 21 генератор (15 за залишки освітньої субвенції, 3 за кошти місцевого бюджету, 2 за кошти ЮНІСЕФ, 1 ДОН), 70 електричних конвекторів (174125,00 грн.), 15 роутерів (39000,00 грн.), 2 рекуператори вентиляційні (99458,00 грн.). </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Опорні заклади освіти: Сквирський акакдемічний ліцей № 2 та Шамраївський НВК отримали по 3000 доларів від ЮНІСЕФ на ремонт, підготовку до опалювального сезону, засоби навчання. За ці кошти було закуплено телевізори, генератори, засоби для покращення інтернету.</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рахунок бюджетних коштів проведено ремонт найпростіших укриттів  Сквирського ЗДО №6 «Ромашка» (429 647,17 грн. з міського бюджету), Сквирського академічного ліцею «Перспектива» (486 050,17 грн. за рахунок залишку коштів освітньої субвенції), Сквирського академічного ліцею №2 (204 955,00 грн. за рахунок залишку коштів освітньої субвенції). У цих закладах у підвальних частинах відремонтовано електрообладнання, облаштовано внутрішні вбиральні, відновлено водопостачання, замінено двері тощо. </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кошти місцевого бюджету (70000 грн.), спонсорські кошти та силами працівників закладів освіти та батьків облаштовано найпростіші укриття у Антонівському НВК, Буківському НВК, Горобіївському НВК, Дулицькому НВК, Оріховецькому НВК, Рудянській філії Шамраївського НВК, Шапіївській початковій школі, Сквирському ЗДО №2, Сквирському ЗДО №3, а також облаштовано найпростіше укриття по вул. М.Рильського, 42 для вихованців Сквирського ЗДО №1 «Світанок».</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Книжковий фонд по централізованій бібліотечній системі складає 191629 примірників видань, надійшло і поставлено на сумарний та індивідуальний облік у 2021 році 525 примірників видань (331 по програмі з обласної бібліотеки, 194 під час акції «Подаруй книгу бібліотеці»), у 2022 році 131 примірник видань.</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3.1.3. Проведення протипожежних заходів</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будівництва, реконструкції та ремонту об’єктів інфраструктури Сквирської міської територіальної громади на 2022-2027 роки</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протипожежні заходи капітального та поточного характеру в закладах освіти</w:t>
            </w:r>
          </w:p>
        </w:tc>
        <w:tc>
          <w:tcPr>
            <w:shd w:fill="cccccc" w:val="clear"/>
            <w:vAlign w:val="center"/>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Встановлено пожежну сигналізацію у 7 закладах загальної середньої освіти, у 4 закладах дошкільної освіти та в 1 закладі позашкільної освіти. Проведено поточний ремонт систем захисту від блискавок та контурів заземлення. Проведено обробку дерев’яних елементів горищних покриттів засобами вогнезахисту.</w:t>
            </w:r>
          </w:p>
        </w:tc>
      </w:tr>
      <w:tr>
        <w:trPr>
          <w:cantSplit w:val="0"/>
          <w:tblHeader w:val="0"/>
        </w:trPr>
        <w:tc>
          <w:tcPr>
            <w:vAlign w:val="top"/>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3.1.4.</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Реконструювати та провести ремонт мереж водопостачання та водовідведення</w:t>
            </w:r>
          </w:p>
        </w:tc>
        <w:tc>
          <w:tcPr>
            <w:vAlign w:val="center"/>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ефективності роботи та реформування ЖКГ міста Сквира з централізованого водовідведення та водопостачання </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2022 рік</w:t>
            </w:r>
          </w:p>
        </w:tc>
        <w:tc>
          <w:tcPr>
            <w:vAlign w:val="center"/>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Якісне водопостачання та водовідведення</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c>
          <w:tcPr>
            <w:vAlign w:val="center"/>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2021 року було проведено реконструкцію системи водопостачання по вул. Стаханова,  вул.Проєктна, вул.Чкалова, вул. Вишнева та від вул.Кобзаря до вул.Вишнева в м.Сквира на загальну суму 2017,8 тис. грн.</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2021 році завершено будівництво об’єкта «Нове будівництво водопроводу по провулку Гоголя в м.Сквира», балансовою вартістю 3174,6 тис. грн.</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2022 року проведено реконструкцію системи водопостачання по вул. Новоселецька, пров. Новоселецький та Кільцевий в м.Сквира на загальну суму 984,5 тис. грн.</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2021-2022 років проводились роботи щодо технічне переоснащення ВНС КП "СКВИР-ВОДОКАНАЛ" (профінансовано 2488,3 тис.грн). Роботи будуть завершені в 2023 році.</w:t>
            </w:r>
          </w:p>
        </w:tc>
      </w:tr>
      <w:tr>
        <w:trPr>
          <w:cantSplit w:val="0"/>
          <w:tblHeader w:val="0"/>
        </w:trPr>
        <w:tc>
          <w:tcPr>
            <w:shd w:fill="cccccc" w:val="clear"/>
            <w:vAlign w:val="top"/>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3.1.5.Побудувати, реконструювати та провести ремонт мереж вуличного освітлення</w:t>
            </w:r>
          </w:p>
        </w:tc>
        <w:tc>
          <w:tcPr>
            <w:shd w:fill="cccccc" w:val="clear"/>
            <w:vAlign w:val="center"/>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заходів по організації благоустрою Сквирської ТГ на 2022-2026 роки</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Безпечні та комфортні умови проживання населення громади</w:t>
            </w:r>
          </w:p>
        </w:tc>
        <w:tc>
          <w:tcPr>
            <w:shd w:fill="cccccc" w:val="clear"/>
            <w:vAlign w:val="center"/>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2021 року проведено реконструкцію вуличного освітлення вул. Лісова та бул. Сквирський в с.Шапіївка (100,0  тис.грн.),  в населених пунктах громади було проведено поточні ремонти мереж вуличного освітлення (заміна ламп, таймерів, автоматичних вимикачів, драйверів тощо) на загальну суму 240,1 тис. грн. </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2022 року реконструкція вуличного освітлення не проводилась. Проведено поточні ремонти мереж вуличного освітлення (заміна ламп, таймерів, автоматичних вимикачів, драйверів, кабелю тощо) на загальну суму 94,3 тис. грн.</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3.1.6. Реконструкція та будівництво спортивних майданчиків, ігрових комплексів на територіях закладів освіти</w:t>
            </w:r>
          </w:p>
        </w:tc>
        <w:tc>
          <w:tcPr>
            <w:vAlign w:val="center"/>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будівництва, реконструкції та ремонту об’єктів інфраструктури Сквирської міської територіальної громади на 2022-2027 роки</w:t>
            </w:r>
          </w:p>
        </w:tc>
        <w:tc>
          <w:tcPr>
            <w:vAlign w:val="center"/>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Облаштовано спортивні майданчики в Буківському НВК, Горобіївському НВК, Кривошиїнському НВК, Самгородоцькому НВК, Сквирському академічному ліцеї №2, Сквирському ЗЗСО №3, реконструкція ігрових майданчиків у Сквирському ЗДО №1, Сквирському ЗДО №2, Сквирському ЗДО №6</w:t>
            </w:r>
          </w:p>
        </w:tc>
        <w:tc>
          <w:tcPr>
            <w:vAlign w:val="center"/>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2021 року проведено капітальний ремонт стадіону «Колос» імені Почесного працівника фізичної культури та спорту України Л.Х. Шварцбурга за кошти обласного бюджету.</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рамках Проєкту Президента України «Активні парки – локації здорової України» у місті Сквира, за кошти міського бюджету (40,4 тис. грн.), встановлено спортивний майданчик, який складається з таких елементів інфраструктури, як: «шведська» стінка, комплекс турніків, гімнастичні бруси, лавка для виконання динамічних вправ, зона для занять фітнесом (вільний простір), координаційна лінія.</w:t>
            </w:r>
          </w:p>
        </w:tc>
      </w:tr>
      <w:tr>
        <w:trPr>
          <w:cantSplit w:val="0"/>
          <w:tblHeader w:val="0"/>
        </w:trPr>
        <w:tc>
          <w:tcPr>
            <w:shd w:fill="cccccc" w:val="clear"/>
            <w:vAlign w:val="top"/>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3.1.7. Завершення газифікації населених пунктів громади </w:t>
            </w:r>
          </w:p>
        </w:tc>
        <w:tc>
          <w:tcPr>
            <w:shd w:fill="cccccc" w:val="clear"/>
            <w:vAlign w:val="center"/>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будівництва, реконструкції та ремонту об’єктів інфраструктури Сквирської міської територіальної громади на 2022-2027 роки</w:t>
            </w:r>
          </w:p>
        </w:tc>
        <w:tc>
          <w:tcPr>
            <w:shd w:fill="cccccc" w:val="clear"/>
            <w:vAlign w:val="center"/>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Створення комфортних умов проживання, поліпшення якості життя  близько 800 осіб</w:t>
            </w:r>
          </w:p>
        </w:tc>
        <w:tc>
          <w:tcPr>
            <w:shd w:fill="cccccc" w:val="clear"/>
            <w:vAlign w:val="center"/>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Протягом 2021-2022 років проводились роботи з будівництва підвідного газопроводу до сіл Рогізна, Краснянка та Дунайка на загальну суму 8041,9 тис.грн. Роботи плануються до завершення в 2023 році.</w:t>
            </w:r>
          </w:p>
        </w:tc>
      </w:tr>
    </w:tbl>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3.2. Покращення транспортного сполучення і стану  доріг в громаді</w:t>
      </w:r>
      <w:r w:rsidDel="00000000" w:rsidR="00000000" w:rsidRPr="00000000">
        <w:rPr>
          <w:rtl w:val="0"/>
        </w:rPr>
      </w:r>
    </w:p>
    <w:tbl>
      <w:tblPr>
        <w:tblStyle w:val="Table9"/>
        <w:tblW w:w="15400.0" w:type="dxa"/>
        <w:jc w:val="left"/>
        <w:tblInd w:w="-108.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408"/>
        <w:gridCol w:w="2403"/>
        <w:gridCol w:w="2126"/>
        <w:gridCol w:w="8463"/>
        <w:tblGridChange w:id="0">
          <w:tblGrid>
            <w:gridCol w:w="2408"/>
            <w:gridCol w:w="2403"/>
            <w:gridCol w:w="2126"/>
            <w:gridCol w:w="8463"/>
          </w:tblGrid>
        </w:tblGridChange>
      </w:tblGrid>
      <w:tr>
        <w:trPr>
          <w:cantSplit w:val="0"/>
          <w:tblHeader w:val="0"/>
        </w:trPr>
        <w:tc>
          <w:tcPr>
            <w:tcBorders>
              <w:bottom w:color="666666" w:space="0" w:sz="12" w:val="single"/>
            </w:tcBorders>
            <w:vAlign w:val="center"/>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3.2.1.</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та поточний ремонт, нове будівництво доріг з твердим покриттям</w:t>
            </w:r>
          </w:p>
        </w:tc>
        <w:tc>
          <w:tcPr>
            <w:shd w:fill="cccccc" w:val="clear"/>
            <w:vAlign w:val="center"/>
          </w:tcPr>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утримання та розвитку дорожнього господарства Сквирської МТГ на 2021-2025 роки</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Якісне дорожнє покриття, покращено транспортне сполучення між населеними пунктами громади</w:t>
            </w:r>
          </w:p>
        </w:tc>
        <w:tc>
          <w:tcPr>
            <w:shd w:fill="cccccc" w:val="clear"/>
            <w:vAlign w:val="center"/>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Потягом 2021 року проведено капітальний ремонт дорожнього покриття по вул.Шевченкавід №20 до №38 та від №59 до №65 в с.Малі Єрчики, вул. Стаханова від будинків №2 до №34 та від №34 до №62, вул.Проєктна, пров. Проєктний та вул. Мічуріна (11488,6 тис.грн). Проведено ремонт дорожнього покриття білощебеневою сумішшю  14 вулиць  в м.Сквира та вулиці в с.Малі Лисівці загальною протяжністю 5,7 км та вартістю 1440,1 тис. грн</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2022 році проведено капітальний ремонт частини дорожнього покриття по вул. Лівобережна від будинку №60 до перехрестя з вул. Польова в м. Сквира (879,1 тис. грн.) Було проведено поточний ремонт дорожнього покриття білощебеневою сумішшю вулиць Короленка, Вишнева, Лесі Українки, Некрасова в м.Сквира, вул.Партизанська в с.Дулицьке та поточний ремонт дорожнього покриття асфальтуванням вулиць Максима Рильського, Липовецька, Червона Площа загальною протяжністю 1,9 км на загальну суму 1714,4 тис. грн.</w:t>
            </w:r>
          </w:p>
        </w:tc>
      </w:tr>
      <w:tr>
        <w:trPr>
          <w:cantSplit w:val="0"/>
          <w:tblHeader w:val="0"/>
        </w:trPr>
        <w:tc>
          <w:tcPr>
            <w:vAlign w:val="top"/>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3.2.2.</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Придбати транспортний засіб для перевезення осіб з інвалідністю(для задоволення соціальних потреб)</w:t>
            </w:r>
          </w:p>
        </w:tc>
        <w:tc>
          <w:tcPr>
            <w:vAlign w:val="center"/>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«Соціальне таксі»</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млн. грн)</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Транспортні засоби із врахуванням вимог екологічності та вільного доступу осіб з особливими потребами</w:t>
            </w:r>
          </w:p>
        </w:tc>
        <w:tc>
          <w:tcPr>
            <w:vAlign w:val="center"/>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61"/>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2022 році, у зв’язку з воєнним станом, на території Сквирської міської територіальної громади не вдалося забезпечити послугу «Соціальне таксі» для поліпшення транспортної доступності особам з інвалідністю 1 та 2 груп та дітям з інвалідністю із захворюваннями опорно-рухового апарату, які пересуваються на інвалідних візках, або за допомогою милиць та ходунків.</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61"/>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Мінсоцполітики, в рамках Угоди про позику від 09.07.2014 № 8404 між Україною та Міжнародним банком реконструкції та розвитку, здійснює модернізацію системи соціальної підтримки населення України. Лист про потребу в транспортному засобі для забезпечення послуги «Соціальне таксі» було надіслано 03.03.2023 року, вих.№ 03-1399.</w:t>
            </w:r>
          </w:p>
        </w:tc>
      </w:tr>
      <w:tr>
        <w:trPr>
          <w:cantSplit w:val="0"/>
          <w:tblHeader w:val="0"/>
        </w:trPr>
        <w:tc>
          <w:tcPr>
            <w:shd w:fill="cccccc" w:val="clear"/>
            <w:vAlign w:val="top"/>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3.2.3 Надання якісних послуг з перевезення громадян пільгових категорій </w:t>
            </w:r>
          </w:p>
        </w:tc>
        <w:tc>
          <w:tcPr>
            <w:shd w:fill="cccccc" w:val="clear"/>
            <w:vAlign w:val="center"/>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«Програма перевезення пільгових категорій громадян Сквирської міської територіальної громади»</w:t>
            </w:r>
          </w:p>
        </w:tc>
        <w:tc>
          <w:tcPr>
            <w:shd w:fill="cccccc" w:val="clear"/>
            <w:vAlign w:val="center"/>
          </w:tcPr>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Вивчення  та розробка програми пільгового перевезення, механізму реалізації Програми</w:t>
            </w:r>
          </w:p>
        </w:tc>
        <w:tc>
          <w:tcPr>
            <w:shd w:fill="cccccc" w:val="clear"/>
            <w:vAlign w:val="center"/>
          </w:tcPr>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Рішенням виконавчого комітету Сквирської міської ради від 01.12.2022 №32/29 схвалено Програму компенсаційних виплат перевізникам за перевезення окремих пільгових категорій громадян, які проживають на території Сквирської міської територіальної громади, на приміських маршрутах загального користування автомобільним транспортом, що не виходять за межі громади на 2023-2024 роки». Програму 05 грудня 2022 року винесено для затвердження на сесії Сквирської міської ради VIII скликання - не затверджено. Програма знаходиться на  доопрацюванні.</w:t>
            </w:r>
          </w:p>
        </w:tc>
      </w:tr>
      <w:tr>
        <w:trPr>
          <w:cantSplit w:val="0"/>
          <w:tblHeader w:val="0"/>
        </w:trPr>
        <w:tc>
          <w:tcPr>
            <w:vAlign w:val="top"/>
          </w:tcPr>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3.2.4. Розробка та затвердження автобусних маршрутів загального користування в межах громади</w:t>
            </w:r>
          </w:p>
        </w:tc>
        <w:tc>
          <w:tcPr>
            <w:vAlign w:val="center"/>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 «Програма розвитку пасажирського транспорту Сквирської територіальної громади»</w:t>
            </w:r>
          </w:p>
        </w:tc>
        <w:tc>
          <w:tcPr>
            <w:vAlign w:val="center"/>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Розроблена та затверджена маршрутна мережа громади </w:t>
            </w:r>
          </w:p>
        </w:tc>
        <w:tc>
          <w:tcPr>
            <w:vAlign w:val="center"/>
          </w:tcPr>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Рішенням виконавчого комітету від 13 січня 2022 року № 19/2 «Про затвердження мережі автобусних маршрутів загального користування, забезпечення організації пасажирських перевезень на яких покладається на виконавчий комітет Сквирської міської ради</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затверджено</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маршрутну мережу із 11 автобусних маршрутів, загального користування та</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розроблено паспорти маршрутів на кожен із маршрутів</w:t>
            </w:r>
          </w:p>
        </w:tc>
      </w:tr>
    </w:tbl>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3.3. Впорядкування існуючих і створення нових рекреаційних і відпочинкових зон</w:t>
      </w:r>
      <w:r w:rsidDel="00000000" w:rsidR="00000000" w:rsidRPr="00000000">
        <w:rPr>
          <w:rtl w:val="0"/>
        </w:rPr>
      </w:r>
    </w:p>
    <w:tbl>
      <w:tblPr>
        <w:tblStyle w:val="Table10"/>
        <w:tblW w:w="15422.0"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381"/>
        <w:gridCol w:w="2410"/>
        <w:gridCol w:w="2126"/>
        <w:gridCol w:w="8505"/>
        <w:tblGridChange w:id="0">
          <w:tblGrid>
            <w:gridCol w:w="2381"/>
            <w:gridCol w:w="2410"/>
            <w:gridCol w:w="2126"/>
            <w:gridCol w:w="8505"/>
          </w:tblGrid>
        </w:tblGridChange>
      </w:tblGrid>
      <w:tr>
        <w:trPr>
          <w:cantSplit w:val="0"/>
          <w:tblHeader w:val="0"/>
        </w:trPr>
        <w:tc>
          <w:tcPr>
            <w:tcBorders>
              <w:bottom w:color="666666" w:space="0" w:sz="12" w:val="single"/>
            </w:tcBorders>
            <w:vAlign w:val="center"/>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 w:right="-108"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0"/>
          <w:tblHeader w:val="0"/>
        </w:trPr>
        <w:tc>
          <w:tcPr>
            <w:shd w:fill="cccccc" w:val="clear"/>
            <w:vAlign w:val="top"/>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3.3.1.</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Провести благоустрій парків, скверів, облаштувати місця для відпочинку, в тому числі поблизу водойм та громадських місць для купання,  занять фізичною культурою і спортом, проведення культурних та інших заходів</w:t>
            </w:r>
          </w:p>
        </w:tc>
        <w:tc>
          <w:tcPr>
            <w:shd w:fill="cccccc" w:val="clear"/>
            <w:vAlign w:val="center"/>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заходів по організації благоустрою Сквирської МТГ на 2022-2026 роки</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shd w:fill="cccccc" w:val="clear"/>
            <w:vAlign w:val="center"/>
          </w:tcPr>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Інфраструктура рекреаційної території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у 50%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населених пунктах громади відповідає сучасним стандартам та запиту громадян</w:t>
            </w:r>
          </w:p>
        </w:tc>
        <w:tc>
          <w:tcPr>
            <w:shd w:fill="cccccc" w:val="clear"/>
            <w:vAlign w:val="center"/>
          </w:tcPr>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реалізацію заходів Програми по організації благоустрою Сквирської територіальної громади в 2021 році було профінансовано 7724,5 тис. грн., в 2022 році - 8116,6 тис. грн.</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bl>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Операційна ціль 3.4. Впровадження ефективного енергоменеджменту та енергомоніторингу</w:t>
      </w:r>
      <w:r w:rsidDel="00000000" w:rsidR="00000000" w:rsidRPr="00000000">
        <w:rPr>
          <w:rtl w:val="0"/>
        </w:rPr>
      </w:r>
    </w:p>
    <w:tbl>
      <w:tblPr>
        <w:tblStyle w:val="Table11"/>
        <w:tblW w:w="15423.000000000002" w:type="dxa"/>
        <w:jc w:val="left"/>
        <w:tblInd w:w="-113.0" w:type="dxa"/>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000"/>
      </w:tblPr>
      <w:tblGrid>
        <w:gridCol w:w="2122"/>
        <w:gridCol w:w="2693"/>
        <w:gridCol w:w="2127"/>
        <w:gridCol w:w="8481"/>
        <w:tblGridChange w:id="0">
          <w:tblGrid>
            <w:gridCol w:w="2122"/>
            <w:gridCol w:w="2693"/>
            <w:gridCol w:w="2127"/>
            <w:gridCol w:w="8481"/>
          </w:tblGrid>
        </w:tblGridChange>
      </w:tblGrid>
      <w:tr>
        <w:trPr>
          <w:cantSplit w:val="0"/>
          <w:tblHeader w:val="0"/>
        </w:trPr>
        <w:tc>
          <w:tcPr>
            <w:tcBorders>
              <w:bottom w:color="666666" w:space="0" w:sz="12" w:val="single"/>
            </w:tcBorders>
            <w:vAlign w:val="center"/>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Діяльність/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Проектні ідеї для реалізації цілі/ завдання (продукт)</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Результат реалізації діяльності / завдання</w:t>
            </w:r>
            <w:r w:rsidDel="00000000" w:rsidR="00000000" w:rsidRPr="00000000">
              <w:rPr>
                <w:rtl w:val="0"/>
              </w:rPr>
            </w:r>
          </w:p>
        </w:tc>
        <w:tc>
          <w:tcPr>
            <w:tcBorders>
              <w:bottom w:color="666666" w:space="0" w:sz="12" w:val="single"/>
            </w:tcBorders>
            <w:vAlign w:val="center"/>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Стан виконання заходів Стратегії</w:t>
            </w:r>
            <w:r w:rsidDel="00000000" w:rsidR="00000000" w:rsidRPr="00000000">
              <w:rPr>
                <w:rtl w:val="0"/>
              </w:rPr>
            </w:r>
          </w:p>
        </w:tc>
      </w:tr>
      <w:tr>
        <w:trPr>
          <w:cantSplit w:val="1"/>
          <w:tblHeader w:val="0"/>
        </w:trPr>
        <w:tc>
          <w:tcPr>
            <w:shd w:fill="cccccc" w:val="clear"/>
            <w:vAlign w:val="center"/>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3.4.1. Провести енергоаудит  комунальних закладів громади</w:t>
            </w:r>
          </w:p>
        </w:tc>
        <w:tc>
          <w:tcPr>
            <w:vMerge w:val="restart"/>
            <w:shd w:fill="cccccc" w:val="clear"/>
            <w:vAlign w:val="center"/>
          </w:tcPr>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Програма енергозбереження та енергоефективності Сквирської міської ради на 2022-2026 роки</w:t>
            </w:r>
          </w:p>
        </w:tc>
        <w:tc>
          <w:tcPr>
            <w:shd w:fill="cccccc" w:val="clear"/>
            <w:vAlign w:val="center"/>
          </w:tcPr>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енергоаудит 100% закладів</w:t>
            </w:r>
          </w:p>
        </w:tc>
        <w:tc>
          <w:tcPr>
            <w:vMerge w:val="restart"/>
            <w:shd w:fill="cccccc" w:val="clear"/>
            <w:vAlign w:val="center"/>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метою встановлення цільових обсягів споживання енергоносіїв, відповідно до пункту 3 статті 51 Бюджетного Кодексу України, Закону України «Про енергозбереження» та врахувавши пропозиції головних розпорядників та одержувачів бюджетних коштів, рішенням виконавчого комітету Сквирської міської ради від 07 грудня 2021 року №28/28 було затверджено ліміти споживання енергоносіїв у натуральних показниках головним розпорядникам та одержувачам бюджетних коштів, що фінансуються за рахунок бюджету Сквирської міської територіальної громади  на 2022 рік.</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Завдяки проведеному аудиту у 2022 році закладами освіти вдалось скоротити, порівняно із 2021 роком, витрачання електроенергії, теплової енергії, води в натуральних показниках, що дало економію бюджетних коштів. У КНП СМР Сквирська ЦМЛ за 2022 рік  досягнуто  економії споживання теплової енергії, електроенергії, обсягу послуг з централізованого водовідведення. У 2022 році зменшено споживання електричної енергії та природного газу закладами культури. Загалом економія  теплової енергії склала у 2022 році порівняно із 2021 роком 1478,4 Гкал.,  економія електричної енергії  - 23489,0 кВт.,  природного газу спожито менше на 4054,3 куб.м., обсяг послуг з централізованого водовідведення зменшено на 10572 куб. м.  </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3.4.2. Провести заходи із енергоефективності комунальних закладів громади</w:t>
            </w:r>
          </w:p>
        </w:tc>
        <w:tc>
          <w:tcPr>
            <w:vMerge w:val="continue"/>
            <w:shd w:fill="cccccc" w:val="clear"/>
            <w:vAlign w:val="cente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Проведено заходи із енергоефективності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у 100%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комунальних закладів громади, проведено енергоаудит</w:t>
            </w:r>
          </w:p>
        </w:tc>
        <w:tc>
          <w:tcPr>
            <w:vMerge w:val="continue"/>
            <w:shd w:fill="cccccc" w:val="clear"/>
            <w:vAlign w:val="center"/>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type w:val="nextPage"/>
      <w:pgSz w:h="11906" w:w="16838" w:orient="landscape"/>
      <w:pgMar w:bottom="1701" w:top="680" w:left="851" w:right="993"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widowControl w:val="0"/>
        <w:spacing w:before="1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Заголовок1">
    <w:name w:val="Заголовок 1"/>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Cambria" w:hAnsi="Cambria"/>
      <w:b w:val="1"/>
      <w:bCs w:val="1"/>
      <w:w w:val="100"/>
      <w:kern w:val="32"/>
      <w:position w:val="-1"/>
      <w:sz w:val="32"/>
      <w:szCs w:val="32"/>
      <w:effect w:val="none"/>
      <w:vertAlign w:val="baseline"/>
      <w:cs w:val="0"/>
      <w:em w:val="none"/>
      <w:lang w:bidi="ar-SA" w:eastAsia="und" w:val="und"/>
    </w:rPr>
  </w:style>
  <w:style w:type="paragraph" w:styleId="Заголовок2">
    <w:name w:val="Заголовок 2"/>
    <w:basedOn w:val="Обычный"/>
    <w:next w:val="Обычный"/>
    <w:autoRedefine w:val="0"/>
    <w:hidden w:val="0"/>
    <w:qFormat w:val="1"/>
    <w:pPr>
      <w:keepNext w:val="1"/>
      <w:suppressAutoHyphens w:val="1"/>
      <w:spacing w:after="60" w:before="240" w:line="1" w:lineRule="atLeast"/>
      <w:ind w:leftChars="-1" w:rightChars="0" w:firstLineChars="-1"/>
      <w:textDirection w:val="btLr"/>
      <w:textAlignment w:val="top"/>
      <w:outlineLvl w:val="1"/>
    </w:pPr>
    <w:rPr>
      <w:rFonts w:ascii="Cambria" w:hAnsi="Cambria"/>
      <w:b w:val="1"/>
      <w:bCs w:val="1"/>
      <w:i w:val="1"/>
      <w:iCs w:val="1"/>
      <w:w w:val="100"/>
      <w:position w:val="-1"/>
      <w:sz w:val="28"/>
      <w:szCs w:val="28"/>
      <w:effect w:val="none"/>
      <w:vertAlign w:val="baseline"/>
      <w:cs w:val="0"/>
      <w:em w:val="none"/>
      <w:lang w:bidi="ar-SA" w:eastAsia="und" w:val="und"/>
    </w:rPr>
  </w:style>
  <w:style w:type="paragraph" w:styleId="Заголовок3">
    <w:name w:val="Заголовок 3"/>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2"/>
    </w:pPr>
    <w:rPr>
      <w:rFonts w:ascii="Cambria" w:hAnsi="Cambria"/>
      <w:b w:val="1"/>
      <w:bCs w:val="1"/>
      <w:w w:val="100"/>
      <w:position w:val="-1"/>
      <w:sz w:val="26"/>
      <w:szCs w:val="26"/>
      <w:effect w:val="none"/>
      <w:vertAlign w:val="baseline"/>
      <w:cs w:val="0"/>
      <w:em w:val="none"/>
      <w:lang w:bidi="ar-SA" w:eastAsia="und" w:val="und"/>
    </w:rPr>
  </w:style>
  <w:style w:type="paragraph" w:styleId="Заголовок4">
    <w:name w:val="Заголовок 4"/>
    <w:basedOn w:val="Обычный"/>
    <w:next w:val="Обычный"/>
    <w:autoRedefine w:val="0"/>
    <w:hidden w:val="0"/>
    <w:qFormat w:val="0"/>
    <w:pPr>
      <w:keepNext w:val="1"/>
      <w:suppressAutoHyphens w:val="1"/>
      <w:spacing w:line="1" w:lineRule="atLeast"/>
      <w:ind w:leftChars="-1" w:rightChars="0" w:firstLineChars="-1"/>
      <w:jc w:val="center"/>
      <w:textDirection w:val="btLr"/>
      <w:textAlignment w:val="top"/>
      <w:outlineLvl w:val="3"/>
    </w:pPr>
    <w:rPr>
      <w:rFonts w:ascii="Calibri" w:hAnsi="Calibri"/>
      <w:b w:val="1"/>
      <w:bCs w:val="1"/>
      <w:w w:val="100"/>
      <w:position w:val="-1"/>
      <w:sz w:val="28"/>
      <w:szCs w:val="28"/>
      <w:effect w:val="none"/>
      <w:vertAlign w:val="baseline"/>
      <w:cs w:val="0"/>
      <w:em w:val="none"/>
      <w:lang w:bidi="ar-SA" w:eastAsia="und" w:val="und"/>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Заголовок1Знак">
    <w:name w:val="Заголовок 1 Знак"/>
    <w:next w:val="Заголовок1Знак"/>
    <w:autoRedefine w:val="0"/>
    <w:hidden w:val="0"/>
    <w:qFormat w:val="0"/>
    <w:rPr>
      <w:rFonts w:ascii="Cambria" w:cs="Times New Roman" w:hAnsi="Cambria"/>
      <w:b w:val="1"/>
      <w:bCs w:val="1"/>
      <w:w w:val="100"/>
      <w:kern w:val="32"/>
      <w:position w:val="-1"/>
      <w:sz w:val="32"/>
      <w:szCs w:val="32"/>
      <w:effect w:val="none"/>
      <w:vertAlign w:val="baseline"/>
      <w:cs w:val="0"/>
      <w:em w:val="none"/>
      <w:lang/>
    </w:rPr>
  </w:style>
  <w:style w:type="character" w:styleId="Заголовок3Знак">
    <w:name w:val="Заголовок 3 Знак"/>
    <w:next w:val="Заголовок3Знак"/>
    <w:autoRedefine w:val="0"/>
    <w:hidden w:val="0"/>
    <w:qFormat w:val="0"/>
    <w:rPr>
      <w:rFonts w:ascii="Cambria" w:cs="Times New Roman" w:hAnsi="Cambria"/>
      <w:b w:val="1"/>
      <w:bCs w:val="1"/>
      <w:w w:val="100"/>
      <w:position w:val="-1"/>
      <w:sz w:val="26"/>
      <w:szCs w:val="26"/>
      <w:effect w:val="none"/>
      <w:vertAlign w:val="baseline"/>
      <w:cs w:val="0"/>
      <w:em w:val="none"/>
      <w:lang/>
    </w:rPr>
  </w:style>
  <w:style w:type="character" w:styleId="Заголовок4Знак">
    <w:name w:val="Заголовок 4 Знак"/>
    <w:next w:val="Заголовок4Знак"/>
    <w:autoRedefine w:val="0"/>
    <w:hidden w:val="0"/>
    <w:qFormat w:val="0"/>
    <w:rPr>
      <w:rFonts w:ascii="Calibri" w:cs="Times New Roman" w:hAnsi="Calibri"/>
      <w:b w:val="1"/>
      <w:bCs w:val="1"/>
      <w:w w:val="100"/>
      <w:position w:val="-1"/>
      <w:sz w:val="28"/>
      <w:szCs w:val="28"/>
      <w:effect w:val="none"/>
      <w:vertAlign w:val="baseline"/>
      <w:cs w:val="0"/>
      <w:em w:val="none"/>
      <w:lang/>
    </w:rPr>
  </w:style>
  <w:style w:type="paragraph" w:styleId="Абзацсписка">
    <w:name w:val="Абзац списка"/>
    <w:basedOn w:val="Обычный"/>
    <w:next w:val="Абзацсписка"/>
    <w:autoRedefine w:val="0"/>
    <w:hidden w:val="0"/>
    <w:qFormat w:val="0"/>
    <w:pPr>
      <w:suppressAutoHyphens w:val="1"/>
      <w:spacing w:line="1" w:lineRule="atLeast"/>
      <w:ind w:left="720" w:leftChars="-1" w:rightChars="0" w:firstLineChars="-1"/>
      <w:contextualSpacing w:val="1"/>
      <w:textDirection w:val="btLr"/>
      <w:textAlignment w:val="top"/>
      <w:outlineLvl w:val="0"/>
    </w:pPr>
    <w:rPr>
      <w:w w:val="100"/>
      <w:position w:val="-1"/>
      <w:sz w:val="24"/>
      <w:szCs w:val="24"/>
      <w:effect w:val="none"/>
      <w:vertAlign w:val="baseline"/>
      <w:cs w:val="0"/>
      <w:em w:val="none"/>
      <w:lang w:bidi="ar-SA" w:eastAsia="ru-RU" w:val="ru-RU"/>
    </w:rPr>
  </w:style>
  <w:style w:type="paragraph" w:styleId="Верхнийколонтитул">
    <w:name w:val="Верхний колонтитул"/>
    <w:basedOn w:val="Обычный"/>
    <w:next w:val="Верхнийколонтитул"/>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ВерхнийколонтитулЗнак">
    <w:name w:val="Верхний колонтитул Знак"/>
    <w:next w:val="ВерхнийколонтитулЗнак"/>
    <w:autoRedefine w:val="0"/>
    <w:hidden w:val="0"/>
    <w:qFormat w:val="0"/>
    <w:rPr>
      <w:w w:val="100"/>
      <w:position w:val="-1"/>
      <w:sz w:val="24"/>
      <w:szCs w:val="24"/>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НижнийколонтитулЗнак">
    <w:name w:val="Нижний колонтитул Знак"/>
    <w:next w:val="НижнийколонтитулЗнак"/>
    <w:autoRedefine w:val="0"/>
    <w:hidden w:val="0"/>
    <w:qFormat w:val="0"/>
    <w:rPr>
      <w:w w:val="100"/>
      <w:position w:val="-1"/>
      <w:sz w:val="24"/>
      <w:szCs w:val="24"/>
      <w:effect w:val="none"/>
      <w:vertAlign w:val="baseline"/>
      <w:cs w:val="0"/>
      <w:em w:val="none"/>
      <w:lang/>
    </w:rPr>
  </w:style>
  <w:style w:type="paragraph" w:styleId="Текствыноски">
    <w:name w:val="Текст выноски"/>
    <w:basedOn w:val="Обычный"/>
    <w:next w:val="Текствыноски"/>
    <w:autoRedefine w:val="0"/>
    <w:hidden w:val="0"/>
    <w:qFormat w:val="0"/>
    <w:pPr>
      <w:suppressAutoHyphens w:val="1"/>
      <w:spacing w:line="1" w:lineRule="atLeast"/>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ТекствыноскиЗнак">
    <w:name w:val="Текст выноски Знак"/>
    <w:next w:val="ТекствыноскиЗнак"/>
    <w:autoRedefine w:val="0"/>
    <w:hidden w:val="0"/>
    <w:qFormat w:val="0"/>
    <w:rPr>
      <w:rFonts w:ascii="Tahoma" w:cs="Tahoma" w:hAnsi="Tahoma"/>
      <w:w w:val="100"/>
      <w:position w:val="-1"/>
      <w:sz w:val="16"/>
      <w:szCs w:val="16"/>
      <w:effect w:val="none"/>
      <w:vertAlign w:val="baseline"/>
      <w:cs w:val="0"/>
      <w:em w:val="none"/>
      <w:lang/>
    </w:rPr>
  </w:style>
  <w:style w:type="paragraph" w:styleId="Основнойтекст">
    <w:name w:val="Основной текст"/>
    <w:basedOn w:val="Обычный"/>
    <w:next w:val="Основнойтекст"/>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k-UA"/>
    </w:rPr>
  </w:style>
  <w:style w:type="character" w:styleId="ОсновнойтекстЗнак">
    <w:name w:val="Основной текст Знак"/>
    <w:next w:val="ОсновнойтекстЗнак"/>
    <w:autoRedefine w:val="0"/>
    <w:hidden w:val="0"/>
    <w:qFormat w:val="0"/>
    <w:rPr>
      <w:w w:val="100"/>
      <w:position w:val="-1"/>
      <w:sz w:val="24"/>
      <w:szCs w:val="24"/>
      <w:effect w:val="none"/>
      <w:vertAlign w:val="baseline"/>
      <w:cs w:val="0"/>
      <w:em w:val="none"/>
      <w:lang w:val="uk-UA"/>
    </w:rPr>
  </w:style>
  <w:style w:type="paragraph" w:styleId="Основнойтекстсотступом2">
    <w:name w:val="Основной текст с отступом 2"/>
    <w:basedOn w:val="Обычный"/>
    <w:next w:val="Основнойтекстсотступом2"/>
    <w:autoRedefine w:val="0"/>
    <w:hidden w:val="0"/>
    <w:qFormat w:val="0"/>
    <w:pPr>
      <w:suppressAutoHyphens w:val="1"/>
      <w:spacing w:after="120" w:line="480" w:lineRule="auto"/>
      <w:ind w:left="283"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Основнойтекстсотступом2Знак">
    <w:name w:val="Основной текст с отступом 2 Знак"/>
    <w:next w:val="Основнойтекстсотступом2Знак"/>
    <w:autoRedefine w:val="0"/>
    <w:hidden w:val="0"/>
    <w:qFormat w:val="0"/>
    <w:rPr>
      <w:w w:val="100"/>
      <w:position w:val="-1"/>
      <w:sz w:val="24"/>
      <w:szCs w:val="24"/>
      <w:effect w:val="none"/>
      <w:vertAlign w:val="baseline"/>
      <w:cs w:val="0"/>
      <w:em w:val="none"/>
      <w:lang/>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paragraph" w:styleId="Обычный(веб)">
    <w:name w:val="Обычный (веб)"/>
    <w:basedOn w:val="Обычный"/>
    <w:next w:val="Обычный(веб)"/>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FontStyle15">
    <w:name w:val="Font Style15"/>
    <w:next w:val="FontStyle15"/>
    <w:autoRedefine w:val="0"/>
    <w:hidden w:val="0"/>
    <w:qFormat w:val="0"/>
    <w:rPr>
      <w:rFonts w:ascii="Times New Roman" w:cs="Times New Roman" w:hAnsi="Times New Roman" w:hint="default"/>
      <w:w w:val="100"/>
      <w:position w:val="-1"/>
      <w:sz w:val="26"/>
      <w:effect w:val="none"/>
      <w:vertAlign w:val="baseline"/>
      <w:cs w:val="0"/>
      <w:em w:val="none"/>
      <w:lang/>
    </w:rPr>
  </w:style>
  <w:style w:type="character" w:styleId="Заголовок2Знак">
    <w:name w:val="Заголовок 2 Знак"/>
    <w:next w:val="Заголовок2Знак"/>
    <w:autoRedefine w:val="0"/>
    <w:hidden w:val="0"/>
    <w:qFormat w:val="0"/>
    <w:rPr>
      <w:rFonts w:ascii="Cambria" w:cs="Times New Roman" w:eastAsia="Times New Roman" w:hAnsi="Cambria"/>
      <w:b w:val="1"/>
      <w:bCs w:val="1"/>
      <w:i w:val="1"/>
      <w:iCs w:val="1"/>
      <w:w w:val="100"/>
      <w:position w:val="-1"/>
      <w:sz w:val="28"/>
      <w:szCs w:val="28"/>
      <w:effect w:val="none"/>
      <w:vertAlign w:val="baseline"/>
      <w:cs w:val="0"/>
      <w:em w:val="none"/>
      <w:lang/>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line="1" w:lineRule="atLeast"/>
      <w:ind w:leftChars="-1" w:rightChars="0" w:firstLineChars="-1"/>
      <w:jc w:val="center"/>
      <w:textDirection w:val="btLr"/>
      <w:textAlignment w:val="top"/>
      <w:outlineLvl w:val="1"/>
    </w:pPr>
    <w:rPr>
      <w:rFonts w:ascii="Times NR Cyr MT" w:hAnsi="Times NR Cyr MT"/>
      <w:b w:val="1"/>
      <w:w w:val="100"/>
      <w:position w:val="-1"/>
      <w:sz w:val="24"/>
      <w:szCs w:val="20"/>
      <w:effect w:val="none"/>
      <w:vertAlign w:val="baseline"/>
      <w:cs w:val="0"/>
      <w:em w:val="none"/>
      <w:lang w:bidi="ar-SA" w:eastAsia="ru-RU" w:val="uk-UA"/>
    </w:rPr>
  </w:style>
  <w:style w:type="table" w:styleId="Сеткатаблицы">
    <w:name w:val="Сетка таблицы"/>
    <w:basedOn w:val="Обычнаятаблица"/>
    <w:next w:val="Сеткатаблицы"/>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rvps2">
    <w:name w:val="rvps2"/>
    <w:basedOn w:val="Обычный"/>
    <w:next w:val="rvps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character" w:styleId="rvts9">
    <w:name w:val="rvts9"/>
    <w:basedOn w:val="Основнойшрифтабзаца"/>
    <w:next w:val="rvts9"/>
    <w:autoRedefine w:val="0"/>
    <w:hidden w:val="0"/>
    <w:qFormat w:val="0"/>
    <w:rPr>
      <w:w w:val="100"/>
      <w:position w:val="-1"/>
      <w:effect w:val="none"/>
      <w:vertAlign w:val="baseline"/>
      <w:cs w:val="0"/>
      <w:em w:val="none"/>
      <w:lang/>
    </w:rPr>
  </w:style>
  <w:style w:type="character" w:styleId="Основнойтекст(2)_Знак">
    <w:name w:val="Основной текст (2)_ Знак"/>
    <w:next w:val="Основнойтекст(2)_Знак"/>
    <w:autoRedefine w:val="0"/>
    <w:hidden w:val="0"/>
    <w:qFormat w:val="0"/>
    <w:rPr>
      <w:rFonts w:ascii="SimSun" w:eastAsia="SimSun" w:hAnsi="SimSun"/>
      <w:w w:val="100"/>
      <w:position w:val="-1"/>
      <w:sz w:val="24"/>
      <w:szCs w:val="24"/>
      <w:effect w:val="none"/>
      <w:shd w:color="auto" w:fill="ffffff" w:val="clear"/>
      <w:vertAlign w:val="baseline"/>
      <w:cs w:val="0"/>
      <w:em w:val="none"/>
      <w:lang w:eastAsia="zh-CN"/>
    </w:rPr>
  </w:style>
  <w:style w:type="paragraph" w:styleId="Основнойтекст(2)_">
    <w:name w:val="Основной текст (2)_"/>
    <w:basedOn w:val="Обычный"/>
    <w:next w:val="Основнойтекст(2)_"/>
    <w:autoRedefine w:val="0"/>
    <w:hidden w:val="0"/>
    <w:qFormat w:val="0"/>
    <w:pPr>
      <w:widowControl w:val="0"/>
      <w:shd w:color="auto" w:fill="ffffff" w:val="clear"/>
      <w:suppressAutoHyphens w:val="1"/>
      <w:spacing w:after="120" w:line="240" w:lineRule="atLeast"/>
      <w:ind w:leftChars="-1" w:rightChars="0" w:firstLineChars="-1"/>
      <w:jc w:val="both"/>
      <w:textDirection w:val="btLr"/>
      <w:textAlignment w:val="top"/>
      <w:outlineLvl w:val="0"/>
    </w:pPr>
    <w:rPr>
      <w:rFonts w:ascii="SimSun" w:eastAsia="SimSun" w:hAnsi="SimSun"/>
      <w:w w:val="100"/>
      <w:position w:val="-1"/>
      <w:sz w:val="24"/>
      <w:szCs w:val="24"/>
      <w:effect w:val="none"/>
      <w:vertAlign w:val="baseline"/>
      <w:cs w:val="0"/>
      <w:em w:val="none"/>
      <w:lang w:bidi="ar-SA" w:eastAsia="zh-CN" w:val="und"/>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character" w:styleId="apple-tab-span">
    <w:name w:val="apple-tab-span"/>
    <w:basedOn w:val="Основнойшрифтабзаца"/>
    <w:next w:val="apple-tab-span"/>
    <w:autoRedefine w:val="0"/>
    <w:hidden w:val="0"/>
    <w:qFormat w:val="0"/>
    <w:rPr>
      <w:w w:val="100"/>
      <w:position w:val="-1"/>
      <w:effect w:val="none"/>
      <w:vertAlign w:val="baseline"/>
      <w:cs w:val="0"/>
      <w:em w:val="none"/>
      <w:lang/>
    </w:rPr>
  </w:style>
  <w:style w:type="character" w:styleId="БезинтервалаЗнак">
    <w:name w:val="Без интервала Знак"/>
    <w:next w:val="БезинтервалаЗнак"/>
    <w:autoRedefine w:val="0"/>
    <w:hidden w:val="0"/>
    <w:qFormat w:val="0"/>
    <w:rPr>
      <w:w w:val="100"/>
      <w:position w:val="-1"/>
      <w:sz w:val="24"/>
      <w:szCs w:val="24"/>
      <w:effect w:val="none"/>
      <w:vertAlign w:val="baseline"/>
      <w:cs w:val="0"/>
      <w:em w:val="none"/>
      <w:lang w:eastAsia="ru-RU" w:val="ru-RU"/>
    </w:rPr>
  </w:style>
  <w:style w:type="table" w:styleId="Таблица-сетка6цветная1">
    <w:name w:val="Таблица-сетка 6 цветная1"/>
    <w:basedOn w:val="Обычнаятаблица"/>
    <w:next w:val="Обычнаятаблица"/>
    <w:autoRedefine w:val="0"/>
    <w:hidden w:val="0"/>
    <w:qFormat w:val="0"/>
    <w:pPr>
      <w:suppressAutoHyphens w:val="1"/>
      <w:spacing w:line="1" w:lineRule="atLeast"/>
      <w:ind w:leftChars="-1" w:rightChars="0" w:firstLineChars="-1"/>
      <w:textDirection w:val="btLr"/>
      <w:textAlignment w:val="top"/>
      <w:outlineLvl w:val="0"/>
    </w:pPr>
    <w:rPr>
      <w:rFonts w:ascii="Calibri" w:eastAsia="Calibri" w:hAnsi="Calibri"/>
      <w:color w:val="000000"/>
      <w:w w:val="100"/>
      <w:position w:val="-1"/>
      <w:sz w:val="22"/>
      <w:szCs w:val="22"/>
      <w:effect w:val="none"/>
      <w:vertAlign w:val="baseline"/>
      <w:cs w:val="0"/>
      <w:em w:val="none"/>
      <w:lang w:eastAsia="pl-PL" w:val="pl-PL"/>
    </w:rPr>
    <w:tblPr>
      <w:tblStyle w:val="Таблица-сетка6цветная1"/>
      <w:tblStyleRowBandSize w:val="1"/>
      <w:tblStyleColBandSize w:val="1"/>
      <w:jc w:val="left"/>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Pr>
  </w:style>
  <w:style w:type="character" w:styleId="fontstyle01">
    <w:name w:val="fontstyle01"/>
    <w:next w:val="fontstyle01"/>
    <w:autoRedefine w:val="0"/>
    <w:hidden w:val="0"/>
    <w:qFormat w:val="0"/>
    <w:rPr>
      <w:rFonts w:ascii="HelveticaNeueCyr-Roman" w:hAnsi="HelveticaNeueCyr-Roman" w:hint="default"/>
      <w:color w:val="000000"/>
      <w:w w:val="100"/>
      <w:position w:val="-1"/>
      <w:sz w:val="18"/>
      <w:szCs w:val="18"/>
      <w:effect w:val="none"/>
      <w:vertAlign w:val="baseline"/>
      <w:cs w:val="0"/>
      <w:em w:val="none"/>
      <w:lang/>
    </w:rPr>
  </w:style>
  <w:style w:type="paragraph" w:styleId="Безінтервалів">
    <w:name w:val="Без інтервалів"/>
    <w:next w:val="Безінтервалів"/>
    <w:autoRedefine w:val="0"/>
    <w:hidden w:val="0"/>
    <w:qFormat w:val="0"/>
    <w:pPr>
      <w:suppressAutoHyphens w:val="0"/>
      <w:spacing w:line="1" w:lineRule="atLeast"/>
      <w:ind w:leftChars="-1" w:rightChars="0" w:firstLineChars="-1"/>
      <w:textDirection w:val="btLr"/>
      <w:textAlignment w:val="top"/>
      <w:outlineLvl w:val="0"/>
    </w:pPr>
    <w:rPr>
      <w:rFonts w:ascii="Calibri" w:cs="Calibri" w:eastAsia="Calibri" w:hAnsi="Calibri"/>
      <w:w w:val="100"/>
      <w:position w:val="-1"/>
      <w:sz w:val="22"/>
      <w:szCs w:val="22"/>
      <w:effect w:val="none"/>
      <w:vertAlign w:val="baseline"/>
      <w:cs w:val="0"/>
      <w:em w:val="none"/>
      <w:lang w:bidi="ar-SA" w:eastAsia="zh-CN" w:val="uk-UA"/>
    </w:rPr>
  </w:style>
  <w:style w:type="paragraph" w:styleId="Безінтервалів1">
    <w:name w:val="Без інтервалів1"/>
    <w:next w:val="Безінтервалів1"/>
    <w:autoRedefine w:val="0"/>
    <w:hidden w:val="0"/>
    <w:qFormat w:val="0"/>
    <w:pPr>
      <w:suppressAutoHyphens w:val="0"/>
      <w:spacing w:line="1" w:lineRule="atLeast"/>
      <w:ind w:leftChars="-1" w:rightChars="0" w:firstLineChars="-1"/>
      <w:textDirection w:val="btLr"/>
      <w:textAlignment w:val="top"/>
      <w:outlineLvl w:val="0"/>
    </w:pPr>
    <w:rPr>
      <w:rFonts w:ascii="Calibri" w:cs="Calibri" w:eastAsia="Calibri" w:hAnsi="Calibri"/>
      <w:w w:val="100"/>
      <w:position w:val="-1"/>
      <w:sz w:val="22"/>
      <w:szCs w:val="22"/>
      <w:effect w:val="none"/>
      <w:vertAlign w:val="baseline"/>
      <w:cs w:val="0"/>
      <w:em w:val="none"/>
      <w:lang w:bidi="ar-SA" w:eastAsia="zh-CN" w:val="uk-UA"/>
    </w:rPr>
  </w:style>
  <w:style w:type="paragraph" w:styleId="Normal">
    <w:name w:val="Normal"/>
    <w:next w:val="Normal"/>
    <w:autoRedefine w:val="0"/>
    <w:hidden w:val="0"/>
    <w:qFormat w:val="0"/>
    <w:pPr>
      <w:widowControl w:val="0"/>
      <w:suppressAutoHyphens w:val="1"/>
      <w:spacing w:before="160" w:line="1" w:lineRule="atLeast"/>
      <w:ind w:leftChars="-1" w:rightChars="0" w:firstLineChars="-1"/>
      <w:jc w:val="both"/>
      <w:textDirection w:val="btLr"/>
      <w:textAlignment w:val="top"/>
      <w:outlineLvl w:val="0"/>
    </w:pPr>
    <w:rPr>
      <w:snapToGrid w:val="0"/>
      <w:w w:val="100"/>
      <w:position w:val="-1"/>
      <w:effect w:val="none"/>
      <w:vertAlign w:val="baseline"/>
      <w:cs w:val="0"/>
      <w:em w:val="none"/>
      <w:lang w:bidi="ar-SA" w:eastAsia="ru-RU"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yy/YB/pCQmpXglAi3flvge35fOw==">AMUW2mV61DWuDf9VoZb2Ks2biLwggNplZ6vXTPgP2q+u/mFZig/C+c1JvPlS4dOb1XczIJxFTLI1LvlhWKD/kmJqo6aOUQuUEJAE6UuYxCOmCSJt83hAdSUlZOvwWd64qUtpmjXi8aM/gF+E1Ju43IwRxFrxcdmG9Q==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2021-02-03T13:10:00Z</dcterms:created>
  <dc:creator>Идеал</dc:creator>
</cp:coreProperties>
</file>