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27"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506558" ProgID="PBrush" ShapeID="_x0000_s1027"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2023 року                     м. Сквира                                     №     -   -VIII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поділу земельної ділянки комунальної власності</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розміщення та експлуатації основних, підсобних</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 допоміжних будівель та споруд підприємств переробної,</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машинобудівної та іншої промисловості на території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(с. Руда)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Кваші Віталія Юрійовича вх. №05-2023/4135 від 16.03.2023, який діє в інтересах Товариства з обмеженою відповідальністю «Шамраївський цукор» на підставі Довіреності на право представляти інтереси підприємства №45/1 від 19 січня 2023 року, рішення сесії Сквирської міської ради від 14 липня 2021 року №128-9-VIIІ «Про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«Шамраївський цукор»»,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186 Земельного кодексу України, ч. 5 ст. 16 Закону України «Про Державний земельний кадастр», ст. 56 Закону України «Про землеустрій»,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технічну документацію із землеустрою щодо поділу земельної ділянки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58,7321 га, кадастровий номер 3224086400:06:017:0003, яка знаходиться за адресою: Київська область, Сквирський район, Рудянська сільська рада, на земельні ділянки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земельна ділянка №1 кадастровий номер 3224086400:06:017:0004  площею 23,2561 га;</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№2 кадастровий номер 3224086400:06:01</w:t>
      </w:r>
      <w:r w:rsidDel="00000000" w:rsidR="00000000" w:rsidRPr="00000000">
        <w:rPr>
          <w:rFonts w:ascii="Times New Roman" w:cs="Times New Roman" w:eastAsia="Times New Roman" w:hAnsi="Times New Roman"/>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:0007 площею 3,6122 га;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№3 кадастровий номер 3224086400:06:01</w:t>
      </w: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:0005 площею 1,7845 га;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земельна ділянка №4 кадастровий номер 3224086400:06:017:0006 площею 30,0793 га.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зареєструвати право комунальної власності на земельні ділянки в Державному реєстрі речових прав на нерухоме майно згідно вимог чинного законодавства.</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E">
      <w:pPr>
        <w:shd w:fill="ffffff"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p>
    <w:p w:rsidR="00000000" w:rsidDel="00000000" w:rsidP="00000000" w:rsidRDefault="00000000" w:rsidRPr="00000000" w14:paraId="0000001F">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0">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2">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4">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6">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7">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8">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A">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B">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D">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E">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30">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Людмила ОСКІЛКО</w:t>
      </w:r>
      <w:r w:rsidDel="00000000" w:rsidR="00000000" w:rsidRPr="00000000">
        <w:rPr>
          <w:rtl w:val="0"/>
        </w:rPr>
      </w:r>
    </w:p>
    <w:p w:rsidR="00000000" w:rsidDel="00000000" w:rsidP="00000000" w:rsidRDefault="00000000" w:rsidRPr="00000000" w14:paraId="00000035">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винесення </w:t>
      </w:r>
    </w:p>
    <w:p w:rsidR="00000000" w:rsidDel="00000000" w:rsidP="00000000" w:rsidRDefault="00000000" w:rsidRPr="00000000" w14:paraId="00000037">
      <w:pPr>
        <w:numPr>
          <w:ilvl w:val="0"/>
          <w:numId w:val="1"/>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8">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9">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A">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B">
      <w:pPr>
        <w:numPr>
          <w:ilvl w:val="0"/>
          <w:numId w:val="1"/>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C">
      <w:pPr>
        <w:numPr>
          <w:ilvl w:val="0"/>
          <w:numId w:val="1"/>
        </w:numPr>
        <w:shd w:fill="ffffff" w:val="clear"/>
        <w:spacing w:after="0" w:line="240" w:lineRule="auto"/>
        <w:ind w:left="0" w:firstLine="0"/>
        <w:rPr>
          <w:b w:val="1"/>
          <w:sz w:val="24"/>
          <w:szCs w:val="24"/>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851"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paragraph" w:styleId="2">
    <w:name w:val="heading 2"/>
    <w:basedOn w:val="a"/>
    <w:next w:val="a"/>
    <w:link w:val="20"/>
    <w:semiHidden w:val="1"/>
    <w:unhideWhenUsed w:val="1"/>
    <w:qFormat w:val="1"/>
    <w:rsid w:val="009B4203"/>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western" w:customStyle="1">
    <w:name w:val="western"/>
    <w:basedOn w:val="a"/>
    <w:rsid w:val="00BE38DF"/>
    <w:pPr>
      <w:spacing w:after="100" w:afterAutospacing="1" w:before="100" w:beforeAutospacing="1" w:line="240" w:lineRule="auto"/>
    </w:pPr>
    <w:rPr>
      <w:rFonts w:ascii="Times New Roman" w:cs="Times New Roman" w:eastAsia="Times New Roman" w:hAnsi="Times New Roman"/>
      <w:sz w:val="24"/>
      <w:szCs w:val="24"/>
      <w:lang w:eastAsia="uk-UA"/>
    </w:rPr>
  </w:style>
  <w:style w:type="character" w:styleId="20" w:customStyle="1">
    <w:name w:val="Заголовок 2 Знак"/>
    <w:basedOn w:val="a0"/>
    <w:link w:val="2"/>
    <w:semiHidden w:val="1"/>
    <w:rsid w:val="009B4203"/>
    <w:rPr>
      <w:rFonts w:ascii="Arial" w:cs="Arial" w:eastAsia="Times New Roman" w:hAnsi="Arial"/>
      <w:b w:val="1"/>
      <w:bCs w:val="1"/>
      <w:i w:val="1"/>
      <w:iCs w:val="1"/>
      <w:sz w:val="28"/>
      <w:szCs w:val="28"/>
      <w:lang w:eastAsia="zh-CN" w:val="ru-RU"/>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9B4203"/>
    <w:pPr>
      <w:spacing w:after="0" w:line="240" w:lineRule="auto"/>
      <w:jc w:val="both"/>
    </w:pPr>
    <w:rPr>
      <w:rFonts w:ascii="Times New Roman" w:cs="Times New Roman" w:eastAsia="Times New Roman" w:hAnsi="Times New Roman"/>
      <w:sz w:val="24"/>
      <w:szCs w:val="24"/>
      <w:lang w:eastAsia="ru-RU"/>
    </w:rPr>
  </w:style>
  <w:style w:type="character" w:styleId="a4"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9B4203"/>
    <w:rPr>
      <w:rFonts w:ascii="Times New Roman" w:cs="Times New Roman" w:eastAsia="Times New Roman" w:hAnsi="Times New Roman"/>
      <w:sz w:val="24"/>
      <w:szCs w:val="24"/>
      <w:lang w:eastAsia="ru-RU"/>
    </w:rPr>
  </w:style>
  <w:style w:type="paragraph" w:styleId="a5">
    <w:name w:val="List Paragraph"/>
    <w:basedOn w:val="a"/>
    <w:uiPriority w:val="34"/>
    <w:qFormat w:val="1"/>
    <w:rsid w:val="009B4203"/>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6">
    <w:name w:val="Strong"/>
    <w:basedOn w:val="a0"/>
    <w:uiPriority w:val="22"/>
    <w:qFormat w:val="1"/>
    <w:rsid w:val="006C4767"/>
    <w:rPr>
      <w:rFonts w:ascii="Times New Roman" w:cs="Times New Roman" w:hAnsi="Times New Roman" w:hint="default"/>
      <w:b w:val="1"/>
      <w:bCs w:val="1"/>
    </w:rPr>
  </w:style>
  <w:style w:type="paragraph" w:styleId="a7">
    <w:name w:val="Normal (Web)"/>
    <w:basedOn w:val="a"/>
    <w:uiPriority w:val="99"/>
    <w:unhideWhenUsed w:val="1"/>
    <w:rsid w:val="006C4767"/>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6cTF0LZJ5qcXbJAKIMijyRwaNJw==">AMUW2mWv3BvdZkWJeFKGExuX12IvnqLEiyeARnVyN3WXkFKJByHgHzqHSXTmGthcj/TcIwU1fmgBYcWJoiLSEmah1egJZftB00CM+Ori9IV4LO2SS2V6VSXcOkda9G84vKiuFzHnYXTs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2023-03-16T19:16:00Z</dcterms:created>
  <dc:creator>Пользователь Windows</dc:creator>
</cp:coreProperties>
</file>