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49580" cy="609600"/>
            <wp:effectExtent b="0" l="0" r="0" t="0"/>
            <wp:docPr descr="https://lh3.googleusercontent.com/UnpZOxABpxeEsfT5Y1mN2r7ktFxZ5fQySpCpoPOKCLRNFTjkgOh4uOj1wVaSkKAcqJx5eFSrgE4U-whMxLxrsz67C714oTNq5G-PedD2jtMt25zGGG6uDnUtZ3Pekw" id="1026" name="image1.png"/>
            <a:graphic>
              <a:graphicData uri="http://schemas.openxmlformats.org/drawingml/2006/picture">
                <pic:pic>
                  <pic:nvPicPr>
                    <pic:cNvPr descr="https://lh3.googleusercontent.com/UnpZOxABpxeEsfT5Y1mN2r7ktFxZ5fQySpCpoPOKCLRNFTjkgOh4uOj1wVaSkKAcqJx5eFSrgE4U-whMxLxrsz67C714oTNq5G-PedD2jtMt25zGGG6uDnUtZ3Pekw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 Р О Є К Т 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___ лютого 2023 року              м. Сквира                             №___-31-VIII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8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86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Програми виконання судових рішень та виконавчих документів на 2023-2025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подання Сквирської міської голови про внесення на чергове засідання сесії Сквирської міської ради розгляд питання «Про затвердження Програми виконання судових рішень та виконавчих документів на 2023-2025 роки», керуючись ст. ст. 25, 26, 43, 59 Закону України «Про місцеве самоврядування в Україні», з метою забезпечення виконання грошових зобов’язань, які виникли на підставі судових рішень про стягнення коштів з бюджету Сквирської міської територіальної громади, боржниками по яких є головні розпорядники бюджетних коштів Сквирської міської ради, відповідно до Бюджетного Кодексу України, постанови Кабінету Міністрів України від 03.08.2011р. №845 «Про затвердження Порядку виконання рішень про стягнення коштів державного та місцевого бюджетів або боржників» (зі змінами), враховуючи рекомендації та висновки постійної комісії Сквирської міської ради з питань планування бюджету та фінансів, соціально-економічного розвитку та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 питань регламенту, депутатської етики, законності та правопорядку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Сквирська міська рада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ВИРІШИЛА: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Програму виконання судових рішень та виконавчих документів на 2023-2025 роки згідно з додатком.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Обсяг фінансування Програми виконання судових рішень та виконавчих документів на 2023-2025 роки визначається рішенням сесії міської ради «Про бюджет Сквирської міської територіальної громади» на відповідний бюджетний рік.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hd w:fill="ffffff" w:val="clear"/>
        <w:spacing w:after="280" w:before="280" w:lineRule="auto"/>
        <w:ind w:left="0" w:firstLine="566.929133858267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бюджету та фінансів, соціально-економічного розвитку та постійну комісію Сквирської міської ради з питань регламенту, депутатської етики, законності та правопорядку.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Міська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голова</w:t>
        <w:tab/>
        <w:tab/>
        <w:tab/>
        <w:tab/>
        <w:tab/>
        <w:tab/>
        <w:tab/>
        <w:t xml:space="preserve">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</w:t>
        <w:tab/>
        <w:tab/>
        <w:tab/>
        <w:tab/>
        <w:tab/>
        <w:tab/>
        <w:tab/>
        <w:t xml:space="preserve"> Тетяна ВЛАСЮК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міської голови</w:t>
        <w:tab/>
        <w:tab/>
        <w:tab/>
        <w:tab/>
        <w:tab/>
        <w:t xml:space="preserve">Людмила СЕРГІЄНКО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</w:t>
        <w:tab/>
        <w:tab/>
        <w:tab/>
        <w:tab/>
        <w:t xml:space="preserve">Віктор САЛТАНЮК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фінансового управління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</w:t>
        <w:tab/>
        <w:tab/>
        <w:tab/>
        <w:tab/>
        <w:tab/>
        <w:tab/>
        <w:tab/>
        <w:tab/>
        <w:t xml:space="preserve"> Ірина КРУКІВСЬКА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фінансово-господарського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відділу – головний бухгалтер</w:t>
        <w:tab/>
        <w:tab/>
        <w:tab/>
        <w:tab/>
        <w:tab/>
        <w:t xml:space="preserve">   Леонора АДАМЧУК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ab/>
        <w:tab/>
        <w:tab/>
        <w:t xml:space="preserve"> Ірина КВАША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внесення на розгляд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планування бюджету та фінансів,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14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соціально-економічного розвитку</w:t>
        <w:tab/>
        <w:tab/>
        <w:tab/>
        <w:tab/>
        <w:t xml:space="preserve">        Максим ЧМИРЬ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38" w:w="11906" w:orient="portrait"/>
          <w:pgMar w:bottom="1134" w:top="1134" w:left="1418" w:right="850" w:header="0" w:footer="3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28.03.2023 № __31-VIII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виконання судових рішень та виконавчих документів на 2023-2025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Паспорт Програми</w:t>
      </w:r>
      <w:r w:rsidDel="00000000" w:rsidR="00000000" w:rsidRPr="00000000">
        <w:rPr>
          <w:rtl w:val="0"/>
        </w:rPr>
      </w:r>
    </w:p>
    <w:tbl>
      <w:tblPr>
        <w:tblStyle w:val="Table1"/>
        <w:tblW w:w="969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58"/>
        <w:gridCol w:w="3715"/>
        <w:gridCol w:w="5318"/>
        <w:tblGridChange w:id="0">
          <w:tblGrid>
            <w:gridCol w:w="658"/>
            <w:gridCol w:w="3715"/>
            <w:gridCol w:w="5318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Назва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Програма виконання судових рішень та виконавчих документів на 2023-2025 роки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Ініціатор розроблення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з питань юридичного забезпечення ради та діловодства Сквирської міської ради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Розробник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Відділ з питань юридичного забезпечення ради та діловодства Сквирської міської ради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Відповідальний виконавець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оловні розпорядники бюджетних коштів, визначені додатком № 3 до рішення сесії Сквирської міської ради «Про бюджет Сквирської міської територіальної громади» на відповідний рік.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Учасники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оловні розпорядники бюджетних коштів, визначені додатком № 3 до рішення сесії Сквирської міської ради «Про бюджет Сквирської міської територіальної громади» на відповідний рік.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Термін реалізації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2023-2025 роки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Загальний обсяг фінансових ресурсів, необхідних для реалізації Програми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 межах асигнувань, передбачених бюджетом Сквирської міської територіальної громади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Очікувані результати виконання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Зменшення негативних наслідків невиконання судових рішень, затримка видатків бюджету Сквирської міської територіальної громади внаслідок блокування рахунків, додаткові витрати бюджету внаслідок накладання штрафних санкцій, стягнення виконавчого збору тощо.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Забезпечення виконання рішень судів про стягнення коштів з бюджету Сквирської міської територіальної громади, боржником по яких є Сквирська міська рада та головні розпорядники бюджетних коштів. Відновлення проведення платежів по незахищених статтях.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Ключові показники ефективності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виконаних рішень суду,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кількість фінансових операцій, які стали можливими до сплати в результаті виконання Програми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Загальний обсяг фінансування </w:t>
            </w:r>
          </w:p>
        </w:tc>
        <w:tc>
          <w:tcPr>
            <w:shd w:fill="ffffff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22"/>
              </w:tabs>
              <w:spacing w:after="0" w:before="0" w:line="240" w:lineRule="auto"/>
              <w:ind w:left="39" w:right="11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4650,0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тис. грн</w:t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Визначення проблеми, на розв’язання якої спрямована Програма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Стаття 129-1 Конституції України встановлює, що судові рішення ухвалюються іменем України та є обов'язковими до виконання.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Програма для забезпечення виконання судових рішень на 2023-2025 роки (далі - Програма) розроблена з метою виконання судових рішень, боржником по яких є Сквирська міська рада та головні розпорядники бюджетних коштів.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Дослідження та аналіз</w:t>
      </w:r>
      <w:bookmarkStart w:colFirst="0" w:colLast="0" w:name="bookmark=id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 Оцінка поточної ситуації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Нормами процесуального законодавства передбачено, що судові рішення, що набрали законної сили, обов'язкові для всіх органів державної влади і органів місцевого самоврядування, підприємств, установ, організацій, посадових чи службових осіб та громадян і підлягають виконанню на всій території України.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відсутність бюджетних призначень на виконання рішень суду, виникла необхідність прийняття Програми для забезпечення виконання судових рішень на 2023-2025 роки.</w:t>
      </w:r>
      <w:bookmarkStart w:colFirst="0" w:colLast="0" w:name="bookmark=id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 Аналіз законодавчої бази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Правовою основою Програми є Конституція України, Бюджетний кодекс України, Закони України “Про місцеве самоврядування в Україні”, “Про виконавче провадження”, постанова Кабінету Міністрів України від 03.08.2011 року № 845 “Про затвердження Порядку виконання рішень про стягнення коштів державного та місцевого бюджетів або боржників”, зі змінами.</w:t>
      </w:r>
      <w:bookmarkStart w:colFirst="0" w:colLast="0" w:name="bookmark=id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Мета та заходи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цієї Програми є забезпечення виконання грошових зобов’язань, які виникли на підставі судових рішень про стягнення коштів з бюджету Сквирської міської територіальної громади, боржником по яких є Сквирська міська рада та головні розпорядники бюджетних коштів.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Завданням Програми є вирішення питання щодо погашення заборгованості за судовими рішеннями про стягнення коштів з бюджету Сквирської міської територіальної громади, боржниками по яких є Сквирська міська рада та головні розпорядники бюджетних коштів.</w:t>
      </w:r>
      <w:bookmarkStart w:colFirst="0" w:colLast="0" w:name="bookmark=id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Заходи Програми: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Погашення заборгованості за судовими рішеннями про стягнення коштів з бюджету Сквирської міської територіальної громади.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Оплата виконавчого збору за примусове виконання рішення суду, штрафів, додаткових витрат, які виникли внаслідок несвоєчасного виконання чи невиконання рішення суду, тощо.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Оплата судового збору.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Фінансове забезпечення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Джерелом фінансування Програми є бюджет Сквирської міської територіальної громади.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Фінансування Програми здійснюється в межах асигнувань, передбачених бюджетом Сквирської міської територіальної громади на зазначену мету.</w:t>
      </w:r>
    </w:p>
    <w:bookmarkStart w:colFirst="0" w:colLast="0" w:name="bookmark=id.2s8eyo1" w:id="9"/>
    <w:bookmarkEnd w:id="9"/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Очікувані результати від реалізації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Реалізація Програми надасть можливість: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зменшити негативні наслідки невиконання судових рішень (блокування рахунків, накладення штрафів, тощо);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забезпечити виконання судових рішень про стягнення коштів з бюджету Сквирської міської територіальної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громади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  <w:bookmarkStart w:colFirst="0" w:colLast="0" w:name="bookmark=id.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Координація та контроль за ходом виконання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Виконання Програми здійснюється шляхом реалізації її заходів.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Головний розпорядник бюджетних коштів забезпечує реалізацію заходів Програми в повному обсязі та у визначені терміни.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та звітування за використанням бюджетних коштів, спрямованих на забезпечення виконання Програми, здійснюється в порядку, встановленому бюджетним законодавством України.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Прогнозоване ресурсне забезпечення Програми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17"/>
        <w:gridCol w:w="1799"/>
        <w:gridCol w:w="1769"/>
        <w:gridCol w:w="1769"/>
        <w:tblGridChange w:id="0">
          <w:tblGrid>
            <w:gridCol w:w="4517"/>
            <w:gridCol w:w="1799"/>
            <w:gridCol w:w="1769"/>
            <w:gridCol w:w="17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Ключові індикатори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2023 рік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2024 рік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2025 рік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Сума заборгованості, що підлягає безспірному списанню відповідно до рішень суду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2500,0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85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0,0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Сума судових витрат, виконавчого збору, штрафів та додаткових витрат, які виникли внаслідок несвоєчасного виконання чи невиконання рішення, та підлягають відшкодуванню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50,0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 та діловодства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</w:t>
        <w:tab/>
        <w:tab/>
        <w:t xml:space="preserve">                              </w:t>
        <w:tab/>
        <w:t xml:space="preserve">Ірина КВАША</w:t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418" w:right="850" w:header="0" w:footer="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287" w:hanging="360.0000000000001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987" w:hanging="4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uk-UA" w:eastAsia="uk-UA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66cc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rFonts w:ascii="Times New Roman" w:cs="Times New Roman" w:eastAsia="Times New Roman" w:hAnsi="Times New Roman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+Интервал0pt">
    <w:name w:val="Основной текст + Интервал 0 pt"/>
    <w:next w:val="Основнойтекст+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15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11pt;Курсив;Интервал0pt">
    <w:name w:val="Основной текст + 11 pt;Курсив;Интервал 0 pt"/>
    <w:next w:val="Основнойтекст+11pt;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-12"/>
      <w:w w:val="100"/>
      <w:position w:val="0"/>
      <w:sz w:val="22"/>
      <w:szCs w:val="22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16pt;Курсив;Интервал0pt">
    <w:name w:val="Основной текст + 16 pt;Курсив;Интервал 0 pt"/>
    <w:next w:val="Основнойтекст+16pt;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0"/>
      <w:w w:val="100"/>
      <w:position w:val="0"/>
      <w:sz w:val="32"/>
      <w:szCs w:val="32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(2)_">
    <w:name w:val="Основной текст (2)_"/>
    <w:next w:val="Основнойтекст(2)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2">
    <w:name w:val="Основной текст2"/>
    <w:next w:val="Основнойтекст2"/>
    <w:autoRedefine w:val="0"/>
    <w:hidden w:val="0"/>
    <w:qFormat w:val="0"/>
    <w:rPr>
      <w:rFonts w:ascii="Times New Roman" w:cs="Times New Roman" w:eastAsia="Times New Roman" w:hAnsi="Times New Roman"/>
      <w:color w:val="000000"/>
      <w:spacing w:val="5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Заголовок№1_">
    <w:name w:val="Заголовок №1_"/>
    <w:next w:val="Заголовок№1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Подписьктаблице_">
    <w:name w:val="Подпись к таблице_"/>
    <w:next w:val="Подписьктаблице_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/>
    </w:rPr>
  </w:style>
  <w:style w:type="character" w:styleId="Основнойтекст+9;5pt;Интервал0pt">
    <w:name w:val="Основной текст + 9;5 pt;Интервал 0 pt"/>
    <w:next w:val="Основнойтекст+9;5pt;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0"/>
      <w:w w:val="100"/>
      <w:position w:val="0"/>
      <w:sz w:val="19"/>
      <w:szCs w:val="19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CordiaUPC;12pt;Полужирный;Интервал0pt">
    <w:name w:val="Основной текст + CordiaUPC;12 pt;Полужирный;Интервал 0 pt"/>
    <w:next w:val="Основнойтекст+CordiaUPC;12pt;Полужирный;Интервал0pt"/>
    <w:autoRedefine w:val="0"/>
    <w:hidden w:val="0"/>
    <w:qFormat w:val="0"/>
    <w:rPr>
      <w:rFonts w:ascii="CordiaUPC" w:cs="CordiaUPC" w:eastAsia="CordiaUPC" w:hAnsi="CordiaUPC"/>
      <w:b w:val="1"/>
      <w:bCs w:val="1"/>
      <w:color w:val="000000"/>
      <w:spacing w:val="0"/>
      <w:w w:val="100"/>
      <w:position w:val="0"/>
      <w:sz w:val="24"/>
      <w:szCs w:val="24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7;5pt;Интервал0pt">
    <w:name w:val="Основной текст + 7;5 pt;Интервал 0 pt"/>
    <w:next w:val="Основнойтекст+7;5pt;Интервал0pt"/>
    <w:autoRedefine w:val="0"/>
    <w:hidden w:val="0"/>
    <w:qFormat w:val="0"/>
    <w:rPr>
      <w:rFonts w:ascii="Times New Roman" w:cs="Times New Roman" w:eastAsia="Times New Roman" w:hAnsi="Times New Roman"/>
      <w:color w:val="000000"/>
      <w:spacing w:val="4"/>
      <w:w w:val="100"/>
      <w:position w:val="0"/>
      <w:sz w:val="15"/>
      <w:szCs w:val="15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Подписьктаблице0">
    <w:name w:val="Подпись к таблице"/>
    <w:next w:val="Подписьктаблице0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0"/>
      <w:sz w:val="21"/>
      <w:szCs w:val="21"/>
      <w:u w:val="singl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Курсив;Интервал0pt1">
    <w:name w:val="Основной текст + Курсив;Интервал 0 pt"/>
    <w:next w:val="Основнойтекст+Курсив;Интервал0pt1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7"/>
      <w:w w:val="100"/>
      <w:position w:val="0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character" w:styleId="Основнойтекст+Курсив;Интервал0pt">
    <w:name w:val="Основной текст + Курсив;Интервал 0 pt"/>
    <w:next w:val="Основнойтекст+Курсив;Интервал0pt"/>
    <w:autoRedefine w:val="0"/>
    <w:hidden w:val="0"/>
    <w:qFormat w:val="0"/>
    <w:rPr>
      <w:rFonts w:ascii="Times New Roman" w:cs="Times New Roman" w:eastAsia="Times New Roman" w:hAnsi="Times New Roman"/>
      <w:i w:val="1"/>
      <w:iCs w:val="1"/>
      <w:color w:val="000000"/>
      <w:spacing w:val="7"/>
      <w:w w:val="100"/>
      <w:position w:val="0"/>
      <w:sz w:val="21"/>
      <w:szCs w:val="21"/>
      <w:u w:val="single"/>
      <w:effect w:val="none"/>
      <w:vertAlign w:val="baseline"/>
      <w:cs w:val="0"/>
      <w:em w:val="none"/>
      <w:lang w:bidi="uk-UA" w:eastAsia="uk-UA" w:val="uk-UA"/>
    </w:rPr>
  </w:style>
  <w:style w:type="paragraph" w:styleId="Основнойтекст1">
    <w:name w:val="Основной текст1"/>
    <w:basedOn w:val="Обычный"/>
    <w:next w:val="Основнойтекст1"/>
    <w:autoRedefine w:val="0"/>
    <w:hidden w:val="0"/>
    <w:qFormat w:val="0"/>
    <w:pPr>
      <w:widowControl w:val="0"/>
      <w:shd w:color="auto" w:fill="ffffff" w:val="clear"/>
      <w:suppressAutoHyphens w:val="1"/>
      <w:spacing w:after="1140" w:line="274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Основнойтекст(2)">
    <w:name w:val="Основной текст (2)"/>
    <w:basedOn w:val="Обычный"/>
    <w:next w:val="Основнойтекст(2)"/>
    <w:autoRedefine w:val="0"/>
    <w:hidden w:val="0"/>
    <w:qFormat w:val="0"/>
    <w:pPr>
      <w:widowControl w:val="0"/>
      <w:shd w:color="auto" w:fill="ffffff" w:val="clear"/>
      <w:suppressAutoHyphens w:val="1"/>
      <w:spacing w:after="120" w:before="1140" w:line="0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Заголовок№1">
    <w:name w:val="Заголовок №1"/>
    <w:basedOn w:val="Обычный"/>
    <w:next w:val="Заголовок№1"/>
    <w:autoRedefine w:val="0"/>
    <w:hidden w:val="0"/>
    <w:qFormat w:val="0"/>
    <w:pPr>
      <w:widowControl w:val="0"/>
      <w:shd w:color="auto" w:fill="ffffff" w:val="clear"/>
      <w:suppressAutoHyphens w:val="1"/>
      <w:spacing w:line="269" w:lineRule="atLeast"/>
      <w:ind w:leftChars="-1" w:rightChars="0" w:firstLine="700" w:firstLineChars="-1"/>
      <w:jc w:val="both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paragraph" w:styleId="Подписьктаблице">
    <w:name w:val="Подпись к таблице"/>
    <w:basedOn w:val="Обычный"/>
    <w:next w:val="Подписьктаблице"/>
    <w:autoRedefine w:val="0"/>
    <w:hidden w:val="0"/>
    <w:qFormat w:val="0"/>
    <w:pPr>
      <w:widowControl w:val="0"/>
      <w:shd w:color="auto" w:fill="ffffff" w:val="clear"/>
      <w:suppressAutoHyphens w:val="1"/>
      <w:spacing w:line="0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color w:val="000000"/>
      <w:spacing w:val="5"/>
      <w:w w:val="100"/>
      <w:position w:val="-1"/>
      <w:sz w:val="21"/>
      <w:szCs w:val="21"/>
      <w:u w:val="none"/>
      <w:effect w:val="none"/>
      <w:vertAlign w:val="baseline"/>
      <w:cs w:val="0"/>
      <w:em w:val="none"/>
      <w:lang w:bidi="uk-UA" w:eastAsia="uk-UA" w:val="uk-UA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RLTLGaafXNY7tb5kONMzQrE2bA==">AMUW2mVaFT1VWHbwMsRh/nZbAnHJzldYbtD7SBx4to0nHpCMCD82AJnz+OCZhpOajSptvrM9370bCHFINsA/TZM9sim9GYGwQV6i2cM9mLGSTdQdgZqbirOIjbvgbNMnEcR7jL7AeALimcvNAHuzC8D73aKXVJkVzWdbcyuV/p5mg/O/3hel7TC2wu/QhAMB7ZJOFpnsp8LLoZivZfKAY87rBcJQ2ME++1m84ywadkkcVSs/A7XTF8bGVlucDIpeboY5Rlh+z6Eop9hAhuHYZath+tOJ277a6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2023-03-20T07:54:00Z</dcterms:created>
  <dc:creator>Шарлай Олександр Федорович</dc:creator>
</cp:coreProperties>
</file>