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8409017"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Гуменюк Катерині Олександрівні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Північна, 18-а у с. Тхорівка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Гальчинського Володимира Володимировича вх. №05-2023/3967 від 16.02.2023, який діє в інтересах громадянки Гуменюк Катерини Олександрівни на підставі довіреності від 06.11.2021 зареєстрованої в реєстрі за №2-1492,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Гуменюк Катерині Олександрівні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Північна, 18-а, с. Тхорівка,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Гуменюк Катерині Олександрівні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3224087501:01:016:0005,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Північна, 18-а, с. Тхорівка,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Гуменюк Катерині Олександрівні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SkfyIHUiKLOaA8eVV0i5LO4FXQ==">AMUW2mVLgvuIgFDz55dbMg3HRO3XhgG1aKRTzRhl5z6dLFHUlNs1C2i/KbEZoaxmtzGxJBno0H3Aqfo5P2LVzw3g5C6DynofXMzWzgcf8fPG6jQk9gjIvX6REQd0WlKciF81ZxYKcOge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2023-02-20T12:05:00Z</dcterms:created>
  <dc:creator>Користувач</dc:creator>
</cp:coreProperties>
</file>