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500506"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Волинцю Віталію Володимировичу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0,0857 га по вул. Сонячна, 40 у м. Сквира Білоцерківського району Київської області</w:t>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Волинця Віталія Володимировича вх. №05-2023/3976 від 16.02.2023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Волинцю Віталію Володимировичу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0,0857 га </w:t>
      </w:r>
      <w:r w:rsidDel="00000000" w:rsidR="00000000" w:rsidRPr="00000000">
        <w:rPr>
          <w:rFonts w:ascii="Times New Roman" w:cs="Times New Roman" w:eastAsia="Times New Roman" w:hAnsi="Times New Roman"/>
          <w:sz w:val="28"/>
          <w:szCs w:val="28"/>
          <w:rtl w:val="0"/>
        </w:rPr>
        <w:t xml:space="preserve">за адресою: вул. Сонячна, 40,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Волинцю Віталію Володимировичу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3224010100:01:063:0140, загальною </w:t>
      </w:r>
      <w:r w:rsidDel="00000000" w:rsidR="00000000" w:rsidRPr="00000000">
        <w:rPr>
          <w:rFonts w:ascii="Times New Roman" w:cs="Times New Roman" w:eastAsia="Times New Roman" w:hAnsi="Times New Roman"/>
          <w:color w:val="000000"/>
          <w:sz w:val="28"/>
          <w:szCs w:val="28"/>
          <w:rtl w:val="0"/>
        </w:rPr>
        <w:t xml:space="preserve">площею 0,0857 га </w:t>
      </w:r>
      <w:r w:rsidDel="00000000" w:rsidR="00000000" w:rsidRPr="00000000">
        <w:rPr>
          <w:rFonts w:ascii="Times New Roman" w:cs="Times New Roman" w:eastAsia="Times New Roman" w:hAnsi="Times New Roman"/>
          <w:sz w:val="28"/>
          <w:szCs w:val="28"/>
          <w:rtl w:val="0"/>
        </w:rPr>
        <w:t xml:space="preserve">за адресою: вул. Сонячна, 40,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Волинцю Віталію Володимировичу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HfNAzTigmXtscZTfVebXLODRg==">AMUW2mWBUM5MqiciO5powRGg9IY5mHn+fl/DO9DGE0Tyxm7sGafrCdC8kXteGx8HJswfxIIDSwHstPN0ZukDvSXaeYFG94TLMVkSwPixKb5/LQVI2WBjM9IQPckiMFrf0XV+RyhEz0Cr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2023-02-21T12:36:00Z</dcterms:created>
  <dc:creator>Користувач</dc:creator>
</cp:coreProperties>
</file>