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349693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bookmarkStart w:colFirst="0" w:colLast="0" w:name="_heading=h.gjdgxs" w:id="0"/>
      <w:bookmarkEnd w:id="0"/>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проєкту землеустрою щодо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відведення земельної ділянки комунальної власності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ведення особистого селянського господарства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0,3295 га по вул. Садова у с. Токарівка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відмову у передачі земельної ділянки у власність </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Волянському Андрію Валерійовичу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Волянського Андрія Валерійовича              вх.№05-2023/4202 від 05.04.2023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Законом України «Про правовий режим воєнного стану», Указом Президента України №64/2022 «Про введення воєнного стану в Україні», ст.ст. 12, 22, 79-1, 83, 116, 118, 121, 122, п.п.5 п.27 розділу Х «Перехідні положення» Земельного кодексу України, Законом України «Про Державний земельний кадастр», ст. 50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проєкт землеустрою щодо відведення земельної ділянки комунальної власності для ведення особистого селянського господарства загальною площею площею 0,3295 га,за адресою: вул. Садова, с. Токарівка, Білоцерківський район, Київська область, кадастровий номер 3224088602:02:021:0020, що додається</w:t>
      </w:r>
    </w:p>
    <w:p w:rsidR="00000000" w:rsidDel="00000000" w:rsidP="00000000" w:rsidRDefault="00000000" w:rsidRPr="00000000" w14:paraId="00000016">
      <w:pPr>
        <w:spacing w:after="0" w:line="240" w:lineRule="auto"/>
        <w:ind w:firstLine="560"/>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2. Відмовити громадянину Волянському Андрію Валерійовичу у передачі земельної ділянки комунальної власності у приватну власність з цільовим призначенням 01.03 Для ведення особистого селянського господарства загальною площею 0,3295 га, за адресою: вул. Садова, с. Токарівка, Білоцерківський район, Київська область, кадастровий номер 3224088602:02:021:0020, згідно п.п.5 п.27 розділу Х «Перехідні положення» Земельного кодексу України у зв’язку з тим, що під час дії воєнного стану земельні відносини регулюються з урахуванням таких особливостей: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p>
    <w:p w:rsidR="00000000" w:rsidDel="00000000" w:rsidP="00000000" w:rsidRDefault="00000000" w:rsidRPr="00000000" w14:paraId="00000017">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000000" w:rsidDel="00000000" w:rsidP="00000000" w:rsidRDefault="00000000" w:rsidRPr="00000000" w14:paraId="00000018">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color w:val="000000"/>
          <w:sz w:val="28"/>
          <w:szCs w:val="28"/>
          <w:rtl w:val="0"/>
        </w:rPr>
        <w:t xml:space="preserve">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f5BiCOB44RYlKhRr7pcmqI/8bw==">AMUW2mW82inBcTuHj+T0CBNje6e+IUQhgySicHEEW9s70oWEvTvWtIlN91ut9yiofUWjmEcU+OpTHtwG5pFv17uqFPxakSieSDIuTvqZbrFnmTTtqCVkE/rnvxQLp5DigwFLDRGPssCC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2023-04-20T08:48:00Z</dcterms:created>
  <dc:creator>Користувач</dc:creator>
</cp:coreProperties>
</file>