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984"/>
          <w:tab w:val="left" w:leader="none" w:pos="0"/>
          <w:tab w:val="left" w:leader="none" w:pos="133"/>
          <w:tab w:val="left" w:leader="none" w:pos="988"/>
          <w:tab w:val="left" w:leader="none" w:pos="1134"/>
        </w:tabs>
        <w:ind w:left="566" w:right="-9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Інформація</w:t>
      </w:r>
    </w:p>
    <w:p w:rsidR="00000000" w:rsidDel="00000000" w:rsidP="00000000" w:rsidRDefault="00000000" w:rsidRPr="00000000" w14:paraId="00000002">
      <w:pPr>
        <w:tabs>
          <w:tab w:val="left" w:leader="none" w:pos="1133.8582677165355"/>
          <w:tab w:val="left" w:leader="none" w:pos="984.2125984251969"/>
          <w:tab w:val="left" w:leader="none" w:pos="0"/>
          <w:tab w:val="left" w:leader="none" w:pos="133"/>
          <w:tab w:val="left" w:leader="none" w:pos="1119.2125984251968"/>
          <w:tab w:val="left" w:leader="none" w:pos="1134"/>
        </w:tabs>
        <w:ind w:right="-9" w:firstLine="566.9291338582675"/>
        <w:jc w:val="center"/>
        <w:rPr>
          <w:b w:val="1"/>
        </w:rPr>
      </w:pPr>
      <w:r w:rsidDel="00000000" w:rsidR="00000000" w:rsidRPr="00000000">
        <w:rPr>
          <w:sz w:val="28"/>
          <w:szCs w:val="28"/>
          <w:rtl w:val="0"/>
        </w:rPr>
        <w:t xml:space="preserve">Про стан медичного обслуговування жителів Сквирської міської територіальної громади за 2022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24" w:before="280" w:lineRule="auto"/>
        <w:ind w:firstLine="566"/>
        <w:jc w:val="both"/>
        <w:rPr>
          <w:color w:val="000000"/>
        </w:rPr>
      </w:pPr>
      <w:r w:rsidDel="00000000" w:rsidR="00000000" w:rsidRPr="00000000">
        <w:rPr>
          <w:color w:val="000000"/>
          <w:highlight w:val="white"/>
          <w:rtl w:val="0"/>
        </w:rPr>
        <w:t xml:space="preserve">Комунальне некомерційне підприємство </w:t>
      </w:r>
      <w:r w:rsidDel="00000000" w:rsidR="00000000" w:rsidRPr="00000000">
        <w:rPr>
          <w:rtl w:val="0"/>
        </w:rPr>
        <w:t xml:space="preserve">Сквирської міської ради «Сквирський міський центр первинної медико </w:t>
      </w:r>
      <w:r w:rsidDel="00000000" w:rsidR="00000000" w:rsidRPr="00000000">
        <w:rPr>
          <w:color w:val="000000"/>
          <w:rtl w:val="0"/>
        </w:rPr>
        <w:t xml:space="preserve">–</w:t>
      </w:r>
      <w:r w:rsidDel="00000000" w:rsidR="00000000" w:rsidRPr="00000000">
        <w:rPr>
          <w:rtl w:val="0"/>
        </w:rPr>
        <w:t xml:space="preserve">санітарної допомоги»</w:t>
      </w:r>
      <w:r w:rsidDel="00000000" w:rsidR="00000000" w:rsidRPr="00000000">
        <w:rPr>
          <w:color w:val="000000"/>
          <w:highlight w:val="white"/>
          <w:rtl w:val="0"/>
        </w:rPr>
        <w:t xml:space="preserve"> здійснювало у 2022 році відповідно до </w:t>
      </w:r>
      <w:r w:rsidDel="00000000" w:rsidR="00000000" w:rsidRPr="00000000">
        <w:rPr>
          <w:color w:val="000000"/>
          <w:rtl w:val="0"/>
        </w:rPr>
        <w:t xml:space="preserve">укладених договорів з Національною службою здоров’я України на 2022 рік про </w:t>
      </w:r>
      <w:r w:rsidDel="00000000" w:rsidR="00000000" w:rsidRPr="00000000">
        <w:rPr>
          <w:color w:val="000000"/>
          <w:highlight w:val="white"/>
          <w:rtl w:val="0"/>
        </w:rPr>
        <w:t xml:space="preserve">медичне обслуговування населення </w:t>
      </w:r>
      <w:r w:rsidDel="00000000" w:rsidR="00000000" w:rsidRPr="00000000">
        <w:rPr>
          <w:color w:val="000000"/>
          <w:rtl w:val="0"/>
        </w:rPr>
        <w:t xml:space="preserve">за програмою медичних гарантій, </w:t>
      </w:r>
      <w:hyperlink r:id="rId7">
        <w:r w:rsidDel="00000000" w:rsidR="00000000" w:rsidRPr="00000000">
          <w:rPr>
            <w:rtl w:val="0"/>
          </w:rPr>
          <w:t xml:space="preserve">Указу Президента України від 24 лютого 2022 року № 64 «Про введення воєнного стану в Україні»</w:t>
        </w:r>
      </w:hyperlink>
      <w:r w:rsidDel="00000000" w:rsidR="00000000" w:rsidRPr="00000000">
        <w:rPr>
          <w:rtl w:val="0"/>
        </w:rPr>
        <w:t xml:space="preserve">, </w:t>
      </w:r>
      <w:hyperlink r:id="rId8">
        <w:r w:rsidDel="00000000" w:rsidR="00000000" w:rsidRPr="00000000">
          <w:rPr>
            <w:rtl w:val="0"/>
          </w:rPr>
          <w:t xml:space="preserve">Закону України від 24 лютого 2022 року № 2102-IX «Про затвердження Указу Президента України «Про введення воєнного стану в Україні»</w:t>
        </w:r>
      </w:hyperlink>
      <w:r w:rsidDel="00000000" w:rsidR="00000000" w:rsidRPr="00000000">
        <w:rPr>
          <w:color w:val="000000"/>
          <w:rtl w:val="0"/>
        </w:rPr>
        <w:t xml:space="preserve">, постанов Кабінету Міністрів Україні, наказів Міністерства охорони здоров’я України та Київської обласної військової адміністрації,  Департаменту охорони здоров’я КОДА, рішень та розпоряджень Сквирської міської ради.</w:t>
      </w:r>
    </w:p>
    <w:p w:rsidR="00000000" w:rsidDel="00000000" w:rsidP="00000000" w:rsidRDefault="00000000" w:rsidRPr="00000000" w14:paraId="00000004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Основним видом діяльності комунального некомерційного підприємства Сквирської міської ради «Сквирський міський центр первинної медико -санітарної допомоги» є організація та надання первинної медико </w:t>
      </w:r>
      <w:r w:rsidDel="00000000" w:rsidR="00000000" w:rsidRPr="00000000">
        <w:rPr>
          <w:color w:val="000000"/>
          <w:rtl w:val="0"/>
        </w:rPr>
        <w:t xml:space="preserve">– </w:t>
      </w:r>
      <w:r w:rsidDel="00000000" w:rsidR="00000000" w:rsidRPr="00000000">
        <w:rPr>
          <w:rtl w:val="0"/>
        </w:rPr>
        <w:t xml:space="preserve">санітарної допомоги населенню Сквирської міської територіальної громади.</w:t>
      </w:r>
    </w:p>
    <w:p w:rsidR="00000000" w:rsidDel="00000000" w:rsidP="00000000" w:rsidRDefault="00000000" w:rsidRPr="00000000" w14:paraId="00000005">
      <w:pPr>
        <w:ind w:right="0" w:firstLine="720"/>
        <w:jc w:val="both"/>
        <w:rPr/>
      </w:pPr>
      <w:r w:rsidDel="00000000" w:rsidR="00000000" w:rsidRPr="00000000">
        <w:rPr>
          <w:color w:val="000000"/>
          <w:rtl w:val="0"/>
        </w:rPr>
        <w:t xml:space="preserve">В структуру КНП СМР «Сквирський МЦПМСД» входить 7 амбулаторій загальної практики сімейної медицини (1 АЗПСМ – центральна, 1АЗПСМ –групової практики, 5 АЗПСМ – монопрактики)  та 31 фельдшерський </w:t>
      </w:r>
      <w:r w:rsidDel="00000000" w:rsidR="00000000" w:rsidRPr="00000000">
        <w:rPr>
          <w:rtl w:val="0"/>
        </w:rPr>
        <w:t xml:space="preserve">/ фельдшерсько –акушерський  пункт та пункт невідкладної медичної допомоги (НМД).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           Штатна чисельність </w:t>
      </w:r>
      <w:r w:rsidDel="00000000" w:rsidR="00000000" w:rsidRPr="00000000">
        <w:rPr>
          <w:color w:val="000000"/>
          <w:rtl w:val="0"/>
        </w:rPr>
        <w:t xml:space="preserve">КНП СМР «Сквирський МЦПМСД» </w:t>
      </w:r>
      <w:r w:rsidDel="00000000" w:rsidR="00000000" w:rsidRPr="00000000">
        <w:rPr>
          <w:rtl w:val="0"/>
        </w:rPr>
        <w:t xml:space="preserve"> складає станом на 31.12.2022 складала: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всього  штатних посад -  </w:t>
      </w:r>
      <w:r w:rsidDel="00000000" w:rsidR="00000000" w:rsidRPr="00000000">
        <w:rPr>
          <w:b w:val="1"/>
          <w:rtl w:val="0"/>
        </w:rPr>
        <w:t xml:space="preserve">140,25;</w:t>
      </w:r>
      <w:r w:rsidDel="00000000" w:rsidR="00000000" w:rsidRPr="00000000">
        <w:rPr>
          <w:rtl w:val="0"/>
        </w:rPr>
        <w:t xml:space="preserve"> з них  зайнятих   – 134,0 посади;  з них фізичних осіб –  125,  в тому числі: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b w:val="1"/>
          <w:rtl w:val="0"/>
        </w:rPr>
        <w:t xml:space="preserve">Лікарів:</w:t>
      </w:r>
      <w:r w:rsidDel="00000000" w:rsidR="00000000" w:rsidRPr="00000000">
        <w:rPr>
          <w:rtl w:val="0"/>
        </w:rPr>
        <w:t xml:space="preserve">  штатних посад – 28,0, зайнятих – 15,25; фізичних осіб –  16 (в т.ч. 1,0 в декретній відпустці).</w:t>
      </w:r>
    </w:p>
    <w:p w:rsidR="00000000" w:rsidDel="00000000" w:rsidP="00000000" w:rsidRDefault="00000000" w:rsidRPr="00000000" w14:paraId="00000009">
      <w:pPr>
        <w:ind w:firstLine="708"/>
        <w:jc w:val="both"/>
        <w:rPr/>
      </w:pPr>
      <w:r w:rsidDel="00000000" w:rsidR="00000000" w:rsidRPr="00000000">
        <w:rPr>
          <w:b w:val="1"/>
          <w:rtl w:val="0"/>
        </w:rPr>
        <w:t xml:space="preserve">Лікарів пенсійного віку - 68%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Лікарів  віком від 20-40 років-1.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b w:val="1"/>
          <w:rtl w:val="0"/>
        </w:rPr>
        <w:t xml:space="preserve">Середнього медичного персоналу: </w:t>
      </w:r>
      <w:r w:rsidDel="00000000" w:rsidR="00000000" w:rsidRPr="00000000">
        <w:rPr>
          <w:rtl w:val="0"/>
        </w:rPr>
        <w:t xml:space="preserve">штатних посад – 76,0; зайнятих – 67,75, фізичних осіб – 52.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Укомплектованість:  лікарями –  74,4% </w:t>
      </w:r>
    </w:p>
    <w:p w:rsidR="00000000" w:rsidDel="00000000" w:rsidP="00000000" w:rsidRDefault="00000000" w:rsidRPr="00000000" w14:paraId="0000000C">
      <w:pPr>
        <w:ind w:left="2124" w:firstLine="0"/>
        <w:jc w:val="both"/>
        <w:rPr/>
      </w:pPr>
      <w:r w:rsidDel="00000000" w:rsidR="00000000" w:rsidRPr="00000000">
        <w:rPr>
          <w:rtl w:val="0"/>
        </w:rPr>
        <w:t xml:space="preserve">       середнім медичним персоналом – 89,1%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18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2022 рік  було укладено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Договори з Національною службою здоров’я України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а саме: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на 2022 рік».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щодо супроводу і лікування дорослих та дітей, хворих на туберкульоз».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«Про медичне обслуговування населення за програмою медичних гарантій  «Вакцинація від гострої респіраторної хвороби COVID-19, спричиненої коронавірусом SARS-CoV-2».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2022  рік  було розроблено та затверджено рішеннями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міські Програми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0" w:firstLine="59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«Про затвердження Цільової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 рішення Сквирської міської ради від 23.11.2021 № 40-15-VIII;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98" w:lineRule="auto"/>
        <w:ind w:left="0" w:right="287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«Про затвердження Програми з інфекційного контролю та дотримання заходів із запобігання інфекціям, пов’язаним з наданням медичної допомоги  Комунального некомерційного підприємства Сквирської міської ради «Сквирський міський центр первинної медико-санітарної допомоги» на 2022-2025 роки» рішення Сквирської міської ради від 23.11.2021 № 39-15-VIII.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     Загальна кількість населення Сквирської міської територіальної громади станом  на  01.01.2023р. складає – 31037 чоловік,  в тому числі сільське населення – 15630 чоловік, м Сквира - 14603 чоловіки.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b w:val="1"/>
          <w:rtl w:val="0"/>
        </w:rPr>
        <w:t xml:space="preserve">Структура населення</w:t>
      </w:r>
      <w:r w:rsidDel="00000000" w:rsidR="00000000" w:rsidRPr="00000000">
        <w:rPr>
          <w:rtl w:val="0"/>
        </w:rPr>
        <w:t xml:space="preserve"> Сквирської міської територіальної громади: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Всього – 31037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т.ч. діти - 4587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Підлітки – 823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Дорослі – 26450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Населення працездатного віку –17024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Жінки всього –14022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Чоловіки- 12428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Загальна кількість підписаних с лікарями КНП СМР «Сквирський МЦПМСД»  декларацій про надання ПМД, станом на 01.04.2023 р., становить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24 626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декларацій.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Кількість Декларацій з лікарями Сквирського МЦПМСД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населеним пунктам станом на 01.04.2023</w:t>
      </w:r>
    </w:p>
    <w:tbl>
      <w:tblPr>
        <w:tblStyle w:val="Table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311"/>
        <w:gridCol w:w="2152"/>
        <w:gridCol w:w="2178"/>
        <w:tblGridChange w:id="0">
          <w:tblGrid>
            <w:gridCol w:w="704"/>
            <w:gridCol w:w="4311"/>
            <w:gridCol w:w="2152"/>
            <w:gridCol w:w="21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населеного пункту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населення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підписаних декларацій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Сквира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15165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11668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Кривощиїнці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Самогородок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Чубинці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Пустоварівка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Горобіївка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786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Шамраївка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1378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1304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Буки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Антонів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.Великі Єрчики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М.Михайлівка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Лаврики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Домантівка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Квітневе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Дуліцьке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Безпечна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Калена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К.Гребля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Золотуха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Красноліси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Цапіївка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Тарасівка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Н.Пустоварівка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М.Єрчики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М.Лисовці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.Миньківці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Мовчанівка</w:t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Рибчинці</w:t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с.Оріховець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Рогізна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Руда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Владиславка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Селезенівка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Тхорівка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Таборів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Шаліївка</w:t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Шапіївка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Терешки</w:t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Токарівка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Дунайка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Кононівка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24 626</w:t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Кількість Декларацій з лікарями Сквирського МЦПМСД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АЗПСМ станом на 01.04.2023</w:t>
      </w:r>
    </w:p>
    <w:tbl>
      <w:tblPr>
        <w:tblStyle w:val="Table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311"/>
        <w:gridCol w:w="2152"/>
        <w:gridCol w:w="2178"/>
        <w:tblGridChange w:id="0">
          <w:tblGrid>
            <w:gridCol w:w="704"/>
            <w:gridCol w:w="4311"/>
            <w:gridCol w:w="2152"/>
            <w:gridCol w:w="21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Амбулаторії загальної практики - сімейної медицини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лікарів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 підписаних декларацій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м. Сквира</w:t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15 396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с.Кривощиїнці</w:t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1 512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 Чубинці</w:t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1 717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 Пустоварівка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(1-д/в)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1 916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 Горобіївка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936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 Шамраївка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2 046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АЗПСМ с. Самогородок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24 626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Згідно з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Договором з Національною службою здоров’я України 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кожній амбулаторії ЗПСМ, жителі Сквирської міської територіальної громади,   які підписали декларацію з лікарями центру, отримують  БЕЗКОШТОВНО такі послуги: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Огляд та динамічне спостереження за станом здоров’я пацієнтів, які уклали Декларацію з лікарями КНП СМР «Сквирський МЦПМСД»;</w:t>
      </w:r>
    </w:p>
    <w:p w:rsidR="00000000" w:rsidDel="00000000" w:rsidP="00000000" w:rsidRDefault="00000000" w:rsidRPr="00000000" w14:paraId="000000FA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Надання в межах ПМД невідкладної медичної допомоги у разі розладу фізичного чи психічного здоров’я пацієнтам, якщо такий розлад стався під час прийому пацієнта лікарем з надання ПМД та якщо пацієнт не потребує екстреної, вторинної (спеціалізованої) або третинної (високоспеціалізованої) медичної допомоги;</w:t>
      </w:r>
    </w:p>
    <w:p w:rsidR="00000000" w:rsidDel="00000000" w:rsidP="00000000" w:rsidRDefault="00000000" w:rsidRPr="00000000" w14:paraId="000000FB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Надання окремих послуг паліативної допомоги пацієнтам усіх вікових категорій;</w:t>
      </w:r>
    </w:p>
    <w:p w:rsidR="00000000" w:rsidDel="00000000" w:rsidP="00000000" w:rsidRDefault="00000000" w:rsidRPr="00000000" w14:paraId="000000FC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Ведення первинної облікової документації, оформлення довідок, листків непрацездатності та направлень для проходження медикосоціальної експертизи, а також лікарських свідоцтв про смерть;</w:t>
      </w:r>
    </w:p>
    <w:p w:rsidR="00000000" w:rsidDel="00000000" w:rsidP="00000000" w:rsidRDefault="00000000" w:rsidRPr="00000000" w14:paraId="000000FD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Направлення на обстеження для діагностики захворювань, за наявності відповідних симптомів;</w:t>
      </w:r>
    </w:p>
    <w:p w:rsidR="00000000" w:rsidDel="00000000" w:rsidP="00000000" w:rsidRDefault="00000000" w:rsidRPr="00000000" w14:paraId="000000FE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рутинна вакцинація;</w:t>
      </w:r>
    </w:p>
    <w:p w:rsidR="00000000" w:rsidDel="00000000" w:rsidP="00000000" w:rsidRDefault="00000000" w:rsidRPr="00000000" w14:paraId="000000FF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загальний аналіз крові з лейкоцитарною формулою;</w:t>
      </w:r>
    </w:p>
    <w:p w:rsidR="00000000" w:rsidDel="00000000" w:rsidP="00000000" w:rsidRDefault="00000000" w:rsidRPr="00000000" w14:paraId="00000100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загальний аналіз сечі;</w:t>
      </w:r>
    </w:p>
    <w:p w:rsidR="00000000" w:rsidDel="00000000" w:rsidP="00000000" w:rsidRDefault="00000000" w:rsidRPr="00000000" w14:paraId="00000101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глюкоза крові;</w:t>
      </w:r>
    </w:p>
    <w:p w:rsidR="00000000" w:rsidDel="00000000" w:rsidP="00000000" w:rsidRDefault="00000000" w:rsidRPr="00000000" w14:paraId="00000102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- загальний холестерин;</w:t>
      </w:r>
    </w:p>
    <w:p w:rsidR="00000000" w:rsidDel="00000000" w:rsidP="00000000" w:rsidRDefault="00000000" w:rsidRPr="00000000" w14:paraId="00000103">
      <w:pPr>
        <w:shd w:fill="ffffff" w:val="clear"/>
        <w:ind w:left="720" w:hanging="720"/>
        <w:jc w:val="both"/>
        <w:rPr/>
      </w:pPr>
      <w:r w:rsidDel="00000000" w:rsidR="00000000" w:rsidRPr="00000000">
        <w:rPr>
          <w:rtl w:val="0"/>
        </w:rPr>
        <w:t xml:space="preserve">- вимірювання артеріального тиску;</w:t>
      </w:r>
    </w:p>
    <w:p w:rsidR="00000000" w:rsidDel="00000000" w:rsidP="00000000" w:rsidRDefault="00000000" w:rsidRPr="00000000" w14:paraId="00000104">
      <w:pPr>
        <w:shd w:fill="ffffff" w:val="clear"/>
        <w:ind w:left="720" w:hanging="720"/>
        <w:jc w:val="both"/>
        <w:rPr/>
      </w:pPr>
      <w:r w:rsidDel="00000000" w:rsidR="00000000" w:rsidRPr="00000000">
        <w:rPr>
          <w:rtl w:val="0"/>
        </w:rPr>
        <w:t xml:space="preserve">- електрокардіограма;</w:t>
      </w:r>
    </w:p>
    <w:p w:rsidR="00000000" w:rsidDel="00000000" w:rsidP="00000000" w:rsidRDefault="00000000" w:rsidRPr="00000000" w14:paraId="00000105">
      <w:pPr>
        <w:shd w:fill="ffffff" w:val="clear"/>
        <w:ind w:left="720" w:hanging="720"/>
        <w:jc w:val="both"/>
        <w:rPr/>
      </w:pPr>
      <w:r w:rsidDel="00000000" w:rsidR="00000000" w:rsidRPr="00000000">
        <w:rPr>
          <w:rtl w:val="0"/>
        </w:rPr>
        <w:t xml:space="preserve">- вимірювання ваги, зросту, окружності талії, вимірювання індексу маси тіла;</w:t>
      </w:r>
    </w:p>
    <w:p w:rsidR="00000000" w:rsidDel="00000000" w:rsidP="00000000" w:rsidRDefault="00000000" w:rsidRPr="00000000" w14:paraId="00000106">
      <w:pPr>
        <w:shd w:fill="ffffff" w:val="clear"/>
        <w:ind w:left="720" w:hanging="720"/>
        <w:jc w:val="both"/>
        <w:rPr/>
      </w:pPr>
      <w:r w:rsidDel="00000000" w:rsidR="00000000" w:rsidRPr="00000000">
        <w:rPr>
          <w:rtl w:val="0"/>
        </w:rPr>
        <w:t xml:space="preserve">- швидкі тести на вагітність, тропоніни, ВІЛ, вірусні гепатити, SARS-CoV-2;</w:t>
      </w:r>
    </w:p>
    <w:p w:rsidR="00000000" w:rsidDel="00000000" w:rsidP="00000000" w:rsidRDefault="00000000" w:rsidRPr="00000000" w14:paraId="000001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10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Показниками ДАШБОРДА НСЗУ роботи лікарів: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" w:line="240" w:lineRule="auto"/>
        <w:ind w:left="0" w:right="11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електронній системі охорони здоров'я медичними практиками було створено 31 346 електронних медичних записів, в тому числі створені електронні рецепти – 4 592.</w:t>
      </w:r>
    </w:p>
    <w:p w:rsidR="00000000" w:rsidDel="00000000" w:rsidP="00000000" w:rsidRDefault="00000000" w:rsidRPr="00000000" w14:paraId="0000010A">
      <w:pPr>
        <w:ind w:firstLine="284"/>
        <w:jc w:val="both"/>
        <w:rPr/>
      </w:pPr>
      <w:r w:rsidDel="00000000" w:rsidR="00000000" w:rsidRPr="00000000">
        <w:rPr>
          <w:rtl w:val="0"/>
        </w:rPr>
        <w:t xml:space="preserve">Кількість хворих, які розпочали і закінчили лікування у лікарів первинної ланки, становить  24 294 або 74,5 % і є оптимальним.</w:t>
      </w:r>
    </w:p>
    <w:p w:rsidR="00000000" w:rsidDel="00000000" w:rsidP="00000000" w:rsidRDefault="00000000" w:rsidRPr="00000000" w14:paraId="0000010B">
      <w:pPr>
        <w:ind w:firstLine="284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ПРИРОДНИЙ РУХ НАСЕЛЕННЯ по Сквирській  МТГ за 2022 р.</w:t>
      </w:r>
    </w:p>
    <w:tbl>
      <w:tblPr>
        <w:tblStyle w:val="Table3"/>
        <w:tblW w:w="93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4"/>
        <w:gridCol w:w="1127"/>
        <w:gridCol w:w="1188"/>
        <w:gridCol w:w="1195"/>
        <w:gridCol w:w="1156"/>
        <w:gridCol w:w="1178"/>
        <w:gridCol w:w="1156"/>
        <w:tblGridChange w:id="0">
          <w:tblGrid>
            <w:gridCol w:w="2344"/>
            <w:gridCol w:w="1127"/>
            <w:gridCol w:w="1188"/>
            <w:gridCol w:w="1195"/>
            <w:gridCol w:w="1156"/>
            <w:gridCol w:w="1178"/>
            <w:gridCol w:w="115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Найменування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Кількість народжених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Кількість померлих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Природний приріст (скорочення (-) 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 </w:t>
            </w:r>
          </w:p>
          <w:p w:rsidR="00000000" w:rsidDel="00000000" w:rsidP="00000000" w:rsidRDefault="00000000" w:rsidRPr="00000000" w14:paraId="000001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1000 жителів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 1000 жителів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осіб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 </w:t>
            </w:r>
          </w:p>
          <w:p w:rsidR="00000000" w:rsidDel="00000000" w:rsidP="00000000" w:rsidRDefault="00000000" w:rsidRPr="00000000" w14:paraId="000001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  <w:p w:rsidR="00000000" w:rsidDel="00000000" w:rsidP="00000000" w:rsidRDefault="00000000" w:rsidRPr="00000000" w14:paraId="0000011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жителів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Київська область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17,7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-9,7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Сквирська міська територіальна громада 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199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6,2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652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13,6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- 453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-14,5</w:t>
            </w:r>
          </w:p>
        </w:tc>
      </w:tr>
    </w:tbl>
    <w:p w:rsidR="00000000" w:rsidDel="00000000" w:rsidP="00000000" w:rsidRDefault="00000000" w:rsidRPr="00000000" w14:paraId="0000012E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ind w:firstLine="708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 </w:t>
      </w:r>
      <w:r w:rsidDel="00000000" w:rsidR="00000000" w:rsidRPr="00000000">
        <w:rPr>
          <w:b w:val="1"/>
          <w:rtl w:val="0"/>
        </w:rPr>
        <w:t xml:space="preserve">Сквирській міській територіальній громаді</w:t>
      </w:r>
      <w:r w:rsidDel="00000000" w:rsidR="00000000" w:rsidRPr="00000000">
        <w:rPr>
          <w:b w:val="1"/>
          <w:color w:val="000000"/>
          <w:rtl w:val="0"/>
        </w:rPr>
        <w:t xml:space="preserve"> залишається тенденція щодо перевищення показників смертності (померло 453 особи), ніж народжуваності (народилося 199 дітей) на «-» 453  чоловік що складає природний рух від’ємний - « -» 14,5 </w:t>
      </w:r>
      <w:r w:rsidDel="00000000" w:rsidR="00000000" w:rsidRPr="00000000">
        <w:rPr>
          <w:b w:val="1"/>
          <w:rtl w:val="0"/>
        </w:rPr>
        <w:t xml:space="preserve">на 1000 жителів</w:t>
      </w:r>
      <w:r w:rsidDel="00000000" w:rsidR="00000000" w:rsidRPr="00000000">
        <w:rPr>
          <w:b w:val="1"/>
          <w:color w:val="000000"/>
          <w:rtl w:val="0"/>
        </w:rPr>
        <w:t xml:space="preserve">.    </w:t>
      </w:r>
    </w:p>
    <w:p w:rsidR="00000000" w:rsidDel="00000000" w:rsidP="00000000" w:rsidRDefault="00000000" w:rsidRPr="00000000" w14:paraId="00000130">
      <w:pPr>
        <w:ind w:firstLine="708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Смертність в працездатному віці</w:t>
      </w:r>
      <w:r w:rsidDel="00000000" w:rsidR="00000000" w:rsidRPr="00000000">
        <w:rPr>
          <w:rtl w:val="0"/>
        </w:rPr>
        <w:t xml:space="preserve"> на протязі 2022року складає  139  чоловік,з них 22 жінки і 117 чоловіків, показник на 10 тисяч населення складає  44,7;за 2021 рік смертність в працездатному віці складала – 158 чоловік, показник – 44,1на 10 тис.нас.</w:t>
      </w:r>
    </w:p>
    <w:p w:rsidR="00000000" w:rsidDel="00000000" w:rsidP="00000000" w:rsidRDefault="00000000" w:rsidRPr="00000000" w14:paraId="00000131">
      <w:pPr>
        <w:ind w:firstLine="70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Найвищі показники смертності у працездатному віці по м. Сквира - 68 чоловіків  та 16 жінок;  с. Руда – 4 чоловіки і 1 жінка працездатного  віку, в селах : Антонів, Пустоварівка, М.Єрчики ,Горобіївка по 4 чоловіки працездатного  віку,  в селах  Безпечна, Мовчанівка, Рибчинці по 3 чоловіки, </w:t>
      </w:r>
    </w:p>
    <w:p w:rsidR="00000000" w:rsidDel="00000000" w:rsidP="00000000" w:rsidRDefault="00000000" w:rsidRPr="00000000" w14:paraId="00000132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 Кривошиїнці – 2 чоловіки працездатного віку, в селах: Каленна, Самгородк , Тхорівка, Шапіївка, Шаліївка, Селезеівка, Рогізна, Красноліси, Дуліцке, Лаврики, Домантівка в підзвітному році зареєстровано  смерть  по 1 людині  працездатного  віку.</w:t>
      </w:r>
    </w:p>
    <w:p w:rsidR="00000000" w:rsidDel="00000000" w:rsidP="00000000" w:rsidRDefault="00000000" w:rsidRPr="00000000" w14:paraId="00000133">
      <w:pPr>
        <w:ind w:right="289" w:firstLine="720"/>
        <w:jc w:val="both"/>
        <w:rPr/>
      </w:pPr>
      <w:r w:rsidDel="00000000" w:rsidR="00000000" w:rsidRPr="00000000">
        <w:rPr>
          <w:rtl w:val="0"/>
        </w:rPr>
        <w:t xml:space="preserve">За 2022 рік </w:t>
      </w:r>
      <w:r w:rsidDel="00000000" w:rsidR="00000000" w:rsidRPr="00000000">
        <w:rPr>
          <w:b w:val="1"/>
          <w:rtl w:val="0"/>
        </w:rPr>
        <w:t xml:space="preserve">зареєстровано  57 588 звернень до лікарів  АЗПСМ</w:t>
      </w:r>
      <w:r w:rsidDel="00000000" w:rsidR="00000000" w:rsidRPr="00000000">
        <w:rPr>
          <w:rtl w:val="0"/>
        </w:rPr>
        <w:t xml:space="preserve">, з низ 24630 звернень  від  сільського  населення, дітей - 15 562 звернень, осіб, які мають статус «ВПО» - 2656 звернень. 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ПОКАЗНИКИ ЗАХВОРЮВАНОСТІ НАСЕЛЕННЯ</w:t>
      </w:r>
    </w:p>
    <w:p w:rsidR="00000000" w:rsidDel="00000000" w:rsidP="00000000" w:rsidRDefault="00000000" w:rsidRPr="00000000" w14:paraId="00000136">
      <w:pPr>
        <w:jc w:val="center"/>
        <w:rPr/>
      </w:pPr>
      <w:r w:rsidDel="00000000" w:rsidR="00000000" w:rsidRPr="00000000">
        <w:rPr>
          <w:rtl w:val="0"/>
        </w:rPr>
        <w:t xml:space="preserve">по Сквирському МЦПМСД за 2022 рік на 10 тис.</w:t>
      </w:r>
    </w:p>
    <w:p w:rsidR="00000000" w:rsidDel="00000000" w:rsidP="00000000" w:rsidRDefault="00000000" w:rsidRPr="00000000" w14:paraId="00000137">
      <w:pPr>
        <w:ind w:firstLine="708"/>
        <w:jc w:val="both"/>
        <w:rPr/>
      </w:pPr>
      <w:r w:rsidDel="00000000" w:rsidR="00000000" w:rsidRPr="00000000">
        <w:rPr>
          <w:color w:val="000000"/>
          <w:rtl w:val="0"/>
        </w:rPr>
        <w:t xml:space="preserve">Показники захворюваності населення за 2022 рік, в порівняні з 2021 роком, зменшилась та є нижчою середньообласних показників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jc w:val="both"/>
        <w:rPr/>
      </w:pPr>
      <w:r w:rsidDel="00000000" w:rsidR="00000000" w:rsidRPr="00000000">
        <w:rPr>
          <w:rtl w:val="0"/>
        </w:rPr>
        <w:t xml:space="preserve">Зареєстровано захворювань всього- 29 742. В т.ч.з діагнозом вперше в житті -6 960</w:t>
      </w:r>
    </w:p>
    <w:p w:rsidR="00000000" w:rsidDel="00000000" w:rsidP="00000000" w:rsidRDefault="00000000" w:rsidRPr="00000000" w14:paraId="00000139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Серед захворювань дорослі:</w:t>
      </w:r>
    </w:p>
    <w:p w:rsidR="00000000" w:rsidDel="00000000" w:rsidP="00000000" w:rsidRDefault="00000000" w:rsidRPr="00000000" w14:paraId="0000013B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  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color w:val="000000"/>
          <w:rtl w:val="0"/>
        </w:rPr>
        <w:t xml:space="preserve">захворювання системи  кровообігу</w:t>
      </w:r>
      <w:r w:rsidDel="00000000" w:rsidR="00000000" w:rsidRPr="00000000">
        <w:rPr>
          <w:color w:val="000000"/>
          <w:rtl w:val="0"/>
        </w:rPr>
        <w:t xml:space="preserve">,   зареєстровано -17 181  випадок,  показник на 10тис.нас.  становить  6495,6 ; </w:t>
      </w:r>
    </w:p>
    <w:p w:rsidR="00000000" w:rsidDel="00000000" w:rsidP="00000000" w:rsidRDefault="00000000" w:rsidRPr="00000000" w14:paraId="0000013C">
      <w:pPr>
        <w:ind w:right="-143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ІІ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color w:val="000000"/>
          <w:rtl w:val="0"/>
        </w:rPr>
        <w:t xml:space="preserve">хвороби  органів  дихання</w:t>
      </w:r>
      <w:r w:rsidDel="00000000" w:rsidR="00000000" w:rsidRPr="00000000">
        <w:rPr>
          <w:color w:val="000000"/>
          <w:rtl w:val="0"/>
        </w:rPr>
        <w:t xml:space="preserve">  - 5949 випадків, показник на 10 тис. нас становить   2249,1.;</w:t>
      </w:r>
    </w:p>
    <w:p w:rsidR="00000000" w:rsidDel="00000000" w:rsidP="00000000" w:rsidRDefault="00000000" w:rsidRPr="00000000" w14:paraId="0000013D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ІІІ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color w:val="000000"/>
          <w:rtl w:val="0"/>
        </w:rPr>
        <w:t xml:space="preserve">хвороби  органів  травлення</w:t>
      </w:r>
      <w:r w:rsidDel="00000000" w:rsidR="00000000" w:rsidRPr="00000000">
        <w:rPr>
          <w:color w:val="000000"/>
          <w:rtl w:val="0"/>
        </w:rPr>
        <w:t xml:space="preserve"> - 4772 випадки,  показник  на 10 тис.нас. станвить 1804,1;</w:t>
      </w:r>
    </w:p>
    <w:p w:rsidR="00000000" w:rsidDel="00000000" w:rsidP="00000000" w:rsidRDefault="00000000" w:rsidRPr="00000000" w14:paraId="0000013E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ІVмісце - хвороби кістково-  м’язової  системи</w:t>
      </w:r>
      <w:r w:rsidDel="00000000" w:rsidR="00000000" w:rsidRPr="00000000">
        <w:rPr>
          <w:color w:val="000000"/>
          <w:rtl w:val="0"/>
        </w:rPr>
        <w:t xml:space="preserve"> - 880 випадків, показник  на 10тис.нас.  становить 333,7 .</w:t>
      </w:r>
    </w:p>
    <w:p w:rsidR="00000000" w:rsidDel="00000000" w:rsidP="00000000" w:rsidRDefault="00000000" w:rsidRPr="00000000" w14:paraId="0000013F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 місце -  хвороби   сечостатевої системи</w:t>
      </w:r>
      <w:r w:rsidDel="00000000" w:rsidR="00000000" w:rsidRPr="00000000">
        <w:rPr>
          <w:color w:val="000000"/>
          <w:rtl w:val="0"/>
        </w:rPr>
        <w:t xml:space="preserve"> - 408 випадків, показник  на 10тис.нас.  становить 154,2.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ind w:right="289" w:firstLine="720"/>
        <w:jc w:val="both"/>
        <w:rPr/>
      </w:pPr>
      <w:r w:rsidDel="00000000" w:rsidR="00000000" w:rsidRPr="00000000">
        <w:rPr>
          <w:b w:val="1"/>
          <w:rtl w:val="0"/>
        </w:rPr>
        <w:t xml:space="preserve">НМД. Невідкладна медична допомога</w:t>
      </w:r>
      <w:r w:rsidDel="00000000" w:rsidR="00000000" w:rsidRPr="00000000">
        <w:rPr>
          <w:rtl w:val="0"/>
        </w:rPr>
        <w:t xml:space="preserve"> надавалася медичними працівниками /фельдшерами пункту невідкладної медичної допомоги в невідкладних станах. За 2022 ріки  </w:t>
      </w:r>
      <w:r w:rsidDel="00000000" w:rsidR="00000000" w:rsidRPr="00000000">
        <w:rPr>
          <w:b w:val="1"/>
          <w:rtl w:val="0"/>
        </w:rPr>
        <w:t xml:space="preserve">медична допомога</w:t>
      </w:r>
      <w:r w:rsidDel="00000000" w:rsidR="00000000" w:rsidRPr="00000000">
        <w:rPr>
          <w:rtl w:val="0"/>
        </w:rPr>
        <w:t xml:space="preserve"> надана – </w:t>
      </w:r>
      <w:r w:rsidDel="00000000" w:rsidR="00000000" w:rsidRPr="00000000">
        <w:rPr>
          <w:b w:val="1"/>
          <w:rtl w:val="0"/>
        </w:rPr>
        <w:t xml:space="preserve">1910  особам</w:t>
      </w:r>
      <w:r w:rsidDel="00000000" w:rsidR="00000000" w:rsidRPr="00000000">
        <w:rPr>
          <w:rtl w:val="0"/>
        </w:rPr>
        <w:t xml:space="preserve">, які  потребували, з них –89 дітям та  157 –ВПО. </w:t>
      </w:r>
    </w:p>
    <w:p w:rsidR="00000000" w:rsidDel="00000000" w:rsidP="00000000" w:rsidRDefault="00000000" w:rsidRPr="00000000" w14:paraId="00000141">
      <w:pPr>
        <w:ind w:right="289" w:firstLine="720"/>
        <w:jc w:val="both"/>
        <w:rPr/>
      </w:pPr>
      <w:r w:rsidDel="00000000" w:rsidR="00000000" w:rsidRPr="00000000">
        <w:rPr>
          <w:b w:val="1"/>
          <w:rtl w:val="0"/>
        </w:rPr>
        <w:t xml:space="preserve">ФАП/ФП.</w:t>
      </w:r>
      <w:r w:rsidDel="00000000" w:rsidR="00000000" w:rsidRPr="00000000">
        <w:rPr>
          <w:rtl w:val="0"/>
        </w:rPr>
        <w:t xml:space="preserve"> Медична медична допомога надавалася працівниками ФП/ФАПів в наближених до населення (в селах), так за відповідний період  за медичною  допомогою до фельдшерів сільських населених пунктів  було 33 058 звернень, з них 6 370 діти.</w:t>
      </w:r>
    </w:p>
    <w:p w:rsidR="00000000" w:rsidDel="00000000" w:rsidP="00000000" w:rsidRDefault="00000000" w:rsidRPr="00000000" w14:paraId="00000142">
      <w:pPr>
        <w:ind w:right="289" w:firstLine="72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ind w:right="289" w:firstLine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ДИТЯЧЕ НАСЕЛЕННЯ:</w:t>
      </w:r>
    </w:p>
    <w:p w:rsidR="00000000" w:rsidDel="00000000" w:rsidP="00000000" w:rsidRDefault="00000000" w:rsidRPr="00000000" w14:paraId="00000144">
      <w:pPr>
        <w:ind w:firstLine="70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  Сквирській МТГ мешкає - 4587 дітей у віці від 0 до 17 років. </w:t>
      </w:r>
    </w:p>
    <w:p w:rsidR="00000000" w:rsidDel="00000000" w:rsidP="00000000" w:rsidRDefault="00000000" w:rsidRPr="00000000" w14:paraId="00000145">
      <w:pPr>
        <w:jc w:val="both"/>
        <w:rPr/>
      </w:pPr>
      <w:r w:rsidDel="00000000" w:rsidR="00000000" w:rsidRPr="00000000">
        <w:rPr>
          <w:color w:val="000000"/>
          <w:rtl w:val="0"/>
        </w:rPr>
        <w:t xml:space="preserve">Задекларовані в КНП СМР  </w:t>
      </w:r>
      <w:r w:rsidDel="00000000" w:rsidR="00000000" w:rsidRPr="00000000">
        <w:rPr>
          <w:rtl w:val="0"/>
        </w:rPr>
        <w:t xml:space="preserve">«Сквирський МЦПМСД» - 3678 дітей, </w:t>
      </w:r>
    </w:p>
    <w:p w:rsidR="00000000" w:rsidDel="00000000" w:rsidP="00000000" w:rsidRDefault="00000000" w:rsidRPr="00000000" w14:paraId="00000146">
      <w:pPr>
        <w:jc w:val="both"/>
        <w:rPr/>
      </w:pPr>
      <w:r w:rsidDel="00000000" w:rsidR="00000000" w:rsidRPr="00000000">
        <w:rPr>
          <w:rtl w:val="0"/>
        </w:rPr>
        <w:t xml:space="preserve">з них дітей дошкільного  віку – 976, </w:t>
      </w:r>
    </w:p>
    <w:p w:rsidR="00000000" w:rsidDel="00000000" w:rsidP="00000000" w:rsidRDefault="00000000" w:rsidRPr="00000000" w14:paraId="00000147">
      <w:pPr>
        <w:jc w:val="both"/>
        <w:rPr/>
      </w:pPr>
      <w:r w:rsidDel="00000000" w:rsidR="00000000" w:rsidRPr="00000000">
        <w:rPr>
          <w:rtl w:val="0"/>
        </w:rPr>
        <w:t xml:space="preserve">дітей  шкільного  віку - 2702, </w:t>
      </w:r>
    </w:p>
    <w:p w:rsidR="00000000" w:rsidDel="00000000" w:rsidP="00000000" w:rsidRDefault="00000000" w:rsidRPr="00000000" w14:paraId="00000148">
      <w:pPr>
        <w:jc w:val="both"/>
        <w:rPr/>
      </w:pPr>
      <w:r w:rsidDel="00000000" w:rsidR="00000000" w:rsidRPr="00000000">
        <w:rPr>
          <w:rtl w:val="0"/>
        </w:rPr>
        <w:t xml:space="preserve">з их  підлітків  - 823. Всі діти під наглядом  педіатрів  та  сімейних  лікарів.</w:t>
      </w:r>
    </w:p>
    <w:p w:rsidR="00000000" w:rsidDel="00000000" w:rsidP="00000000" w:rsidRDefault="00000000" w:rsidRPr="00000000" w14:paraId="00000149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Показники  захворюваності  дитячого  населення  в 2022 році  в  порівнянні  з 2021 роком  збільшились в зв’язку із  неблагополучною  ситуацією з  захворюваністю  на  ГРВІ, СОV-19 та  веденням  військових  дій  </w:t>
      </w:r>
    </w:p>
    <w:p w:rsidR="00000000" w:rsidDel="00000000" w:rsidP="00000000" w:rsidRDefault="00000000" w:rsidRPr="00000000" w14:paraId="0000014A">
      <w:pPr>
        <w:ind w:firstLine="70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ЗАХВОРЮВАНІСТЬ ДИТЯЧОГО НАСЕЛЕННЯ:</w:t>
      </w:r>
    </w:p>
    <w:p w:rsidR="00000000" w:rsidDel="00000000" w:rsidP="00000000" w:rsidRDefault="00000000" w:rsidRPr="00000000" w14:paraId="0000014B">
      <w:pPr>
        <w:ind w:firstLine="708"/>
        <w:rPr/>
      </w:pPr>
      <w:r w:rsidDel="00000000" w:rsidR="00000000" w:rsidRPr="00000000">
        <w:rPr>
          <w:b w:val="1"/>
          <w:rtl w:val="0"/>
        </w:rPr>
        <w:t xml:space="preserve">Діти від 0 до14 років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  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органів  дихання , органів  травлення</w:t>
      </w:r>
      <w:r w:rsidDel="00000000" w:rsidR="00000000" w:rsidRPr="00000000">
        <w:rPr>
          <w:color w:val="000000"/>
          <w:rtl w:val="0"/>
        </w:rPr>
        <w:t xml:space="preserve">    -598 випадків (14%</w:t>
      </w:r>
      <w:r w:rsidDel="00000000" w:rsidR="00000000" w:rsidRPr="00000000">
        <w:rPr>
          <w:rtl w:val="0"/>
        </w:rPr>
        <w:t xml:space="preserve"> дітей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14D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ІІ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кістково-м’язової системи</w:t>
      </w:r>
      <w:r w:rsidDel="00000000" w:rsidR="00000000" w:rsidRPr="00000000">
        <w:rPr>
          <w:rtl w:val="0"/>
        </w:rPr>
        <w:t xml:space="preserve"> 235</w:t>
      </w:r>
      <w:r w:rsidDel="00000000" w:rsidR="00000000" w:rsidRPr="00000000">
        <w:rPr>
          <w:color w:val="000000"/>
          <w:rtl w:val="0"/>
        </w:rPr>
        <w:t xml:space="preserve"> випадків</w:t>
      </w:r>
      <w:r w:rsidDel="00000000" w:rsidR="00000000" w:rsidRPr="00000000">
        <w:rPr>
          <w:rtl w:val="0"/>
        </w:rPr>
        <w:t xml:space="preserve"> (5,1%) дітей,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ІІІ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уроджені  аномалії – 143 дітей (3,1%) . </w:t>
      </w:r>
    </w:p>
    <w:p w:rsidR="00000000" w:rsidDel="00000000" w:rsidP="00000000" w:rsidRDefault="00000000" w:rsidRPr="00000000" w14:paraId="0000014F">
      <w:pPr>
        <w:ind w:right="-143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ІVмісце – </w:t>
      </w:r>
      <w:r w:rsidDel="00000000" w:rsidR="00000000" w:rsidRPr="00000000">
        <w:rPr>
          <w:b w:val="1"/>
          <w:rtl w:val="0"/>
        </w:rPr>
        <w:t xml:space="preserve">хвороби  крові -залізодефіцитна  анемії -130  </w:t>
      </w:r>
      <w:r w:rsidDel="00000000" w:rsidR="00000000" w:rsidRPr="00000000">
        <w:rPr>
          <w:b w:val="1"/>
          <w:color w:val="000000"/>
          <w:rtl w:val="0"/>
        </w:rPr>
        <w:t xml:space="preserve">випадків</w:t>
      </w:r>
      <w:r w:rsidDel="00000000" w:rsidR="00000000" w:rsidRPr="00000000">
        <w:rPr>
          <w:rtl w:val="0"/>
        </w:rPr>
        <w:t xml:space="preserve">(2,8%) дітей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V місце -  </w:t>
      </w:r>
      <w:r w:rsidDel="00000000" w:rsidR="00000000" w:rsidRPr="00000000">
        <w:rPr>
          <w:b w:val="1"/>
          <w:rtl w:val="0"/>
        </w:rPr>
        <w:t xml:space="preserve">хвороби   системи  кровообігу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- </w:t>
      </w:r>
      <w:r w:rsidDel="00000000" w:rsidR="00000000" w:rsidRPr="00000000">
        <w:rPr>
          <w:rtl w:val="0"/>
        </w:rPr>
        <w:t xml:space="preserve">-37 (0,8%) дітей ,</w:t>
      </w:r>
    </w:p>
    <w:p w:rsidR="00000000" w:rsidDel="00000000" w:rsidP="00000000" w:rsidRDefault="00000000" w:rsidRPr="00000000" w14:paraId="0000015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ind w:firstLine="708"/>
        <w:rPr>
          <w:b w:val="1"/>
        </w:rPr>
      </w:pPr>
      <w:r w:rsidDel="00000000" w:rsidR="00000000" w:rsidRPr="00000000">
        <w:rPr>
          <w:rtl w:val="0"/>
        </w:rPr>
        <w:t xml:space="preserve">Підлітків</w:t>
      </w:r>
      <w:r w:rsidDel="00000000" w:rsidR="00000000" w:rsidRPr="00000000">
        <w:rPr>
          <w:b w:val="1"/>
          <w:rtl w:val="0"/>
        </w:rPr>
        <w:t xml:space="preserve"> Від 15-до 18 років:</w:t>
      </w:r>
    </w:p>
    <w:p w:rsidR="00000000" w:rsidDel="00000000" w:rsidP="00000000" w:rsidRDefault="00000000" w:rsidRPr="00000000" w14:paraId="00000153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  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органів  дихання , органів  травлення</w:t>
      </w:r>
      <w:r w:rsidDel="00000000" w:rsidR="00000000" w:rsidRPr="00000000">
        <w:rPr>
          <w:color w:val="000000"/>
          <w:rtl w:val="0"/>
        </w:rPr>
        <w:t xml:space="preserve">    -598 випадків (26%</w:t>
      </w:r>
      <w:r w:rsidDel="00000000" w:rsidR="00000000" w:rsidRPr="00000000">
        <w:rPr>
          <w:rtl w:val="0"/>
        </w:rPr>
        <w:t xml:space="preserve"> дітей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154">
      <w:pPr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ІІ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кістково-м’язової системи</w:t>
      </w:r>
      <w:r w:rsidDel="00000000" w:rsidR="00000000" w:rsidRPr="00000000">
        <w:rPr>
          <w:rtl w:val="0"/>
        </w:rPr>
        <w:t xml:space="preserve"> 84</w:t>
      </w:r>
      <w:r w:rsidDel="00000000" w:rsidR="00000000" w:rsidRPr="00000000">
        <w:rPr>
          <w:color w:val="000000"/>
          <w:rtl w:val="0"/>
        </w:rPr>
        <w:t xml:space="preserve"> випадків</w:t>
      </w:r>
      <w:r w:rsidDel="00000000" w:rsidR="00000000" w:rsidRPr="00000000">
        <w:rPr>
          <w:rtl w:val="0"/>
        </w:rPr>
        <w:t xml:space="preserve"> (6,8%) дітей,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ІІІ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уроджені  аномалії – 143 дітей (3,1%) . </w:t>
      </w:r>
    </w:p>
    <w:p w:rsidR="00000000" w:rsidDel="00000000" w:rsidP="00000000" w:rsidRDefault="00000000" w:rsidRPr="00000000" w14:paraId="00000156">
      <w:pPr>
        <w:ind w:right="-143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ІVмісце – </w:t>
      </w:r>
      <w:r w:rsidDel="00000000" w:rsidR="00000000" w:rsidRPr="00000000">
        <w:rPr>
          <w:b w:val="1"/>
          <w:rtl w:val="0"/>
        </w:rPr>
        <w:t xml:space="preserve">хвороби </w:t>
      </w:r>
      <w:r w:rsidDel="00000000" w:rsidR="00000000" w:rsidRPr="00000000">
        <w:rPr>
          <w:rtl w:val="0"/>
        </w:rPr>
        <w:t xml:space="preserve">и  сечостатевої  системи  </w:t>
      </w:r>
      <w:r w:rsidDel="00000000" w:rsidR="00000000" w:rsidRPr="00000000">
        <w:rPr>
          <w:b w:val="1"/>
          <w:rtl w:val="0"/>
        </w:rPr>
        <w:t xml:space="preserve">-45 </w:t>
      </w:r>
      <w:r w:rsidDel="00000000" w:rsidR="00000000" w:rsidRPr="00000000">
        <w:rPr>
          <w:b w:val="1"/>
          <w:color w:val="000000"/>
          <w:rtl w:val="0"/>
        </w:rPr>
        <w:t xml:space="preserve">випадків</w:t>
      </w:r>
      <w:r w:rsidDel="00000000" w:rsidR="00000000" w:rsidRPr="00000000">
        <w:rPr>
          <w:rtl w:val="0"/>
        </w:rPr>
        <w:t xml:space="preserve">(6,5%) дітей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V місце -  </w:t>
      </w:r>
      <w:r w:rsidDel="00000000" w:rsidR="00000000" w:rsidRPr="00000000">
        <w:rPr>
          <w:b w:val="1"/>
          <w:rtl w:val="0"/>
        </w:rPr>
        <w:t xml:space="preserve">хвороби   системи  кровообігу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- </w:t>
      </w:r>
      <w:r w:rsidDel="00000000" w:rsidR="00000000" w:rsidRPr="00000000">
        <w:rPr>
          <w:rtl w:val="0"/>
        </w:rPr>
        <w:t xml:space="preserve">-137 (5,8%) дітей ,</w:t>
      </w:r>
    </w:p>
    <w:p w:rsidR="00000000" w:rsidDel="00000000" w:rsidP="00000000" w:rsidRDefault="00000000" w:rsidRPr="00000000" w14:paraId="0000015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jc w:val="both"/>
        <w:rPr/>
      </w:pPr>
      <w:r w:rsidDel="00000000" w:rsidR="00000000" w:rsidRPr="00000000">
        <w:rPr>
          <w:rtl w:val="0"/>
        </w:rPr>
        <w:t xml:space="preserve">Щорічно  проводяться  періодичні  медичні  огляди дитячого  та  підліткового  населення. </w:t>
      </w:r>
    </w:p>
    <w:p w:rsidR="00000000" w:rsidDel="00000000" w:rsidP="00000000" w:rsidRDefault="00000000" w:rsidRPr="00000000" w14:paraId="0000015A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В  2022році  профілактичним  медичним  оглядам  підлягало  </w:t>
      </w:r>
      <w:r w:rsidDel="00000000" w:rsidR="00000000" w:rsidRPr="00000000">
        <w:rPr>
          <w:b w:val="1"/>
          <w:rtl w:val="0"/>
        </w:rPr>
        <w:t xml:space="preserve">962  дітей</w:t>
      </w:r>
      <w:r w:rsidDel="00000000" w:rsidR="00000000" w:rsidRPr="00000000">
        <w:rPr>
          <w:rtl w:val="0"/>
        </w:rPr>
        <w:t xml:space="preserve">. Оглянуто  </w:t>
      </w:r>
      <w:r w:rsidDel="00000000" w:rsidR="00000000" w:rsidRPr="00000000">
        <w:rPr>
          <w:b w:val="1"/>
          <w:rtl w:val="0"/>
        </w:rPr>
        <w:t xml:space="preserve">943 дитини (98 %</w:t>
      </w:r>
      <w:r w:rsidDel="00000000" w:rsidR="00000000" w:rsidRPr="00000000">
        <w:rPr>
          <w:rtl w:val="0"/>
        </w:rPr>
        <w:t xml:space="preserve"> ),з них: </w:t>
      </w:r>
    </w:p>
    <w:p w:rsidR="00000000" w:rsidDel="00000000" w:rsidP="00000000" w:rsidRDefault="00000000" w:rsidRPr="00000000" w14:paraId="0000015B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-учнів загальноосвітніх  навчальних закладів -706  (97,3 %),  237 учнів  системи  профтехосвіти (6,7%).</w:t>
      </w:r>
    </w:p>
    <w:p w:rsidR="00000000" w:rsidDel="00000000" w:rsidP="00000000" w:rsidRDefault="00000000" w:rsidRPr="00000000" w14:paraId="0000015C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ind w:firstLine="708"/>
        <w:jc w:val="both"/>
        <w:rPr/>
      </w:pPr>
      <w:r w:rsidDel="00000000" w:rsidR="00000000" w:rsidRPr="00000000">
        <w:rPr>
          <w:b w:val="1"/>
          <w:rtl w:val="0"/>
        </w:rPr>
        <w:t xml:space="preserve">Смертність дітей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від 0 до 17 років за 2022 рік  склала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b w:val="1"/>
          <w:rtl w:val="0"/>
        </w:rPr>
        <w:t xml:space="preserve">5  дітей</w:t>
      </w:r>
      <w:r w:rsidDel="00000000" w:rsidR="00000000" w:rsidRPr="00000000">
        <w:rPr>
          <w:rtl w:val="0"/>
        </w:rPr>
        <w:t xml:space="preserve"> : з них  - 3 інваліди з  дитинства, 1- повішання,   1- ДТП.                  </w:t>
      </w:r>
    </w:p>
    <w:p w:rsidR="00000000" w:rsidDel="00000000" w:rsidP="00000000" w:rsidRDefault="00000000" w:rsidRPr="00000000" w14:paraId="0000015E">
      <w:pPr>
        <w:ind w:firstLine="708"/>
        <w:jc w:val="both"/>
        <w:rPr>
          <w:b w:val="1"/>
        </w:rPr>
      </w:pPr>
      <w:r w:rsidDel="00000000" w:rsidR="00000000" w:rsidRPr="00000000">
        <w:rPr>
          <w:rtl w:val="0"/>
        </w:rPr>
        <w:t xml:space="preserve">Показник малюкової  смертності по Сквирській  міській територіальні громаді складає –  </w:t>
      </w:r>
      <w:r w:rsidDel="00000000" w:rsidR="00000000" w:rsidRPr="00000000">
        <w:rPr>
          <w:b w:val="1"/>
          <w:rtl w:val="0"/>
        </w:rPr>
        <w:t xml:space="preserve">1,6 на  10 тис.нас.</w:t>
      </w:r>
    </w:p>
    <w:p w:rsidR="00000000" w:rsidDel="00000000" w:rsidP="00000000" w:rsidRDefault="00000000" w:rsidRPr="00000000" w14:paraId="0000015F">
      <w:pPr>
        <w:ind w:firstLine="708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ІНВАЛІДНІСТЬ</w:t>
      </w:r>
    </w:p>
    <w:p w:rsidR="00000000" w:rsidDel="00000000" w:rsidP="00000000" w:rsidRDefault="00000000" w:rsidRPr="00000000" w14:paraId="00000161">
      <w:pPr>
        <w:ind w:firstLine="708"/>
        <w:jc w:val="both"/>
        <w:rPr/>
      </w:pPr>
      <w:r w:rsidDel="00000000" w:rsidR="00000000" w:rsidRPr="00000000">
        <w:rPr>
          <w:rtl w:val="0"/>
        </w:rPr>
        <w:t xml:space="preserve">За 2022 рік отримали інвалідність (як вперше так і повторно) -186 дорослих осіб</w:t>
      </w:r>
    </w:p>
    <w:p w:rsidR="00000000" w:rsidDel="00000000" w:rsidP="00000000" w:rsidRDefault="00000000" w:rsidRPr="00000000" w14:paraId="00000162">
      <w:pPr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ab/>
        <w:t xml:space="preserve">ДОРОСЛІ:</w:t>
      </w:r>
    </w:p>
    <w:p w:rsidR="00000000" w:rsidDel="00000000" w:rsidP="00000000" w:rsidRDefault="00000000" w:rsidRPr="00000000" w14:paraId="00000163">
      <w:pPr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І   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кістково-м’язової системи </w:t>
      </w:r>
    </w:p>
    <w:p w:rsidR="00000000" w:rsidDel="00000000" w:rsidP="00000000" w:rsidRDefault="00000000" w:rsidRPr="00000000" w14:paraId="00000164">
      <w:pPr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ІІ місце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хвороби   системи  кровообігу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5">
      <w:pPr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ІІІ  місце</w:t>
      </w:r>
      <w:r w:rsidDel="00000000" w:rsidR="00000000" w:rsidRPr="00000000">
        <w:rPr>
          <w:color w:val="000000"/>
          <w:rtl w:val="0"/>
        </w:rPr>
        <w:t xml:space="preserve"> – </w:t>
      </w:r>
      <w:r w:rsidDel="00000000" w:rsidR="00000000" w:rsidRPr="00000000">
        <w:rPr>
          <w:b w:val="1"/>
          <w:rtl w:val="0"/>
        </w:rPr>
        <w:t xml:space="preserve">онкологічні  та ендокринологічні захворювання</w:t>
      </w:r>
    </w:p>
    <w:p w:rsidR="00000000" w:rsidDel="00000000" w:rsidP="00000000" w:rsidRDefault="00000000" w:rsidRPr="00000000" w14:paraId="00000166">
      <w:pPr>
        <w:ind w:right="-143"/>
        <w:jc w:val="both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ІVмісце – травми, </w:t>
      </w:r>
      <w:r w:rsidDel="00000000" w:rsidR="00000000" w:rsidRPr="00000000">
        <w:rPr>
          <w:b w:val="1"/>
          <w:rtl w:val="0"/>
        </w:rPr>
        <w:t xml:space="preserve">хвороби  органів  травлення</w:t>
      </w:r>
      <w:r w:rsidDel="00000000" w:rsidR="00000000" w:rsidRPr="00000000">
        <w:rPr>
          <w:color w:val="000000"/>
          <w:rtl w:val="0"/>
        </w:rPr>
        <w:t xml:space="preserve"> ,  неврологічні захворювання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ind w:firstLine="70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ДІТИ:</w:t>
      </w:r>
    </w:p>
    <w:p w:rsidR="00000000" w:rsidDel="00000000" w:rsidP="00000000" w:rsidRDefault="00000000" w:rsidRPr="00000000" w14:paraId="0000016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ВСЬОГО -187 ДІТЕЙ </w:t>
      </w:r>
    </w:p>
    <w:p w:rsidR="00000000" w:rsidDel="00000000" w:rsidP="00000000" w:rsidRDefault="00000000" w:rsidRPr="00000000" w14:paraId="0000016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ВПЕРШЕ – 21 ДИТИНА отримала статут дитина з інвалідністю</w:t>
      </w:r>
    </w:p>
    <w:p w:rsidR="00000000" w:rsidDel="00000000" w:rsidP="00000000" w:rsidRDefault="00000000" w:rsidRPr="00000000" w14:paraId="0000016A">
      <w:pPr>
        <w:ind w:right="289" w:firstLine="72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ind w:right="289" w:firstLine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ЩЕПЛЕННЯ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12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Стабільно низьким залишається і рівень інших інфекційних хвороб, керованих засобами імунопрофілактики.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Вакцинація проводилась відповідно до державного Календаря щеплень, але виконання планових обсягів імунізації з запобігання виникнення окремих інфекційних хвороб.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Первинний вакцинальний комплекс отримало  197 дітей до 1 року  або 98,9%, підлягало щепленням дітей цієї вікової групи 199 дитина.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1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Повний курс щеплень отримали 756 дорослих та дітей або 42%; незавершений курс щеплень – 41 або 18% від плану.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допущено жодного випадку захворювань на правець, дифтерію, поліомієліт.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115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даними зведеного звіту «УкрВак-08» про профщеплення вакцинацією було охоплено (за визначеними віковими групами дітей):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"/>
        </w:tabs>
        <w:spacing w:after="0" w:before="1" w:line="298" w:lineRule="auto"/>
        <w:ind w:left="984" w:right="0" w:hanging="152.0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проти туберкульозу –87дитини або 89 %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"/>
        </w:tabs>
        <w:spacing w:after="0" w:before="0" w:line="298" w:lineRule="auto"/>
        <w:ind w:left="984" w:right="0" w:hanging="152.0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проти поліомеліту –   1204 дитини або  85.6%</w:t>
      </w:r>
    </w:p>
    <w:p w:rsidR="00000000" w:rsidDel="00000000" w:rsidP="00000000" w:rsidRDefault="00000000" w:rsidRPr="00000000" w14:paraId="00000174">
      <w:pPr>
        <w:ind w:right="28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ind w:right="289" w:firstLine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COVID-19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99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Із загальної кількості захворілих на COVID-19 одужали: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 початку пандемії   1356 осіб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" w:line="240" w:lineRule="auto"/>
        <w:ind w:left="0" w:right="105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початку вакцинальної кампанії (березень 2021 року) проти COVID-19 медичними працівниками Центру ПМСД Сквирській міської ради щеплення вакцинами Astrazeneca Covishield та SKBio, Comirnaty виробництва Pfizer-BioNTech, CoronaVac виробництва компанії Sinovac Biotech проведено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14 561особі 1 доза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13227 осібам   проведено  щеплення ІІ дозою вакцини, бустерну  дозу отримали 2289 осіб, додаткову дозу  отримали 261 особа,72,7 % населення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мають  зелені  сертифікати вакцинації  від COVID-19.</w:t>
      </w:r>
    </w:p>
    <w:p w:rsidR="00000000" w:rsidDel="00000000" w:rsidP="00000000" w:rsidRDefault="00000000" w:rsidRPr="00000000" w14:paraId="00000178">
      <w:pPr>
        <w:ind w:firstLine="680"/>
        <w:rPr>
          <w:b w:val="1"/>
        </w:rPr>
      </w:pPr>
      <w:r w:rsidDel="00000000" w:rsidR="00000000" w:rsidRPr="00000000">
        <w:rPr>
          <w:b w:val="1"/>
          <w:rtl w:val="0"/>
        </w:rPr>
        <w:t xml:space="preserve">Платні медичні послуги</w:t>
      </w:r>
    </w:p>
    <w:p w:rsidR="00000000" w:rsidDel="00000000" w:rsidP="00000000" w:rsidRDefault="00000000" w:rsidRPr="00000000" w14:paraId="00000179">
      <w:pPr>
        <w:ind w:firstLine="680"/>
        <w:rPr/>
      </w:pPr>
      <w:r w:rsidDel="00000000" w:rsidR="00000000" w:rsidRPr="00000000">
        <w:rPr>
          <w:rtl w:val="0"/>
        </w:rPr>
        <w:t xml:space="preserve">В 2022 р. було впроваджено надання платних медичних послуг поза обсягом з Договором з НСЗУ.</w:t>
      </w:r>
    </w:p>
    <w:p w:rsidR="00000000" w:rsidDel="00000000" w:rsidP="00000000" w:rsidRDefault="00000000" w:rsidRPr="00000000" w14:paraId="0000017A">
      <w:pPr>
        <w:ind w:firstLine="680"/>
        <w:rPr>
          <w:b w:val="1"/>
        </w:rPr>
      </w:pPr>
      <w:r w:rsidDel="00000000" w:rsidR="00000000" w:rsidRPr="00000000">
        <w:rPr>
          <w:b w:val="1"/>
          <w:rtl w:val="0"/>
        </w:rPr>
        <w:t xml:space="preserve">ФІНАНСУВАННЯ</w:t>
      </w:r>
    </w:p>
    <w:p w:rsidR="00000000" w:rsidDel="00000000" w:rsidP="00000000" w:rsidRDefault="00000000" w:rsidRPr="00000000" w14:paraId="0000017B">
      <w:pPr>
        <w:ind w:firstLine="680"/>
        <w:rPr/>
      </w:pPr>
      <w:r w:rsidDel="00000000" w:rsidR="00000000" w:rsidRPr="00000000">
        <w:rPr>
          <w:rtl w:val="0"/>
        </w:rPr>
        <w:t xml:space="preserve">Фінансування Центру зі статусом підприємства здійснюється не за постатейним кошторисом витрат, а на основі власного фінансового плану, що дозволяє бути більш гнучким та самостійним у прийнятті рішень порівняно із суб’єктами, що мають статус бюджетної установи.</w:t>
      </w:r>
    </w:p>
    <w:p w:rsidR="00000000" w:rsidDel="00000000" w:rsidP="00000000" w:rsidRDefault="00000000" w:rsidRPr="00000000" w14:paraId="0000017C">
      <w:pPr>
        <w:ind w:firstLine="680"/>
        <w:jc w:val="both"/>
        <w:rPr/>
      </w:pPr>
      <w:r w:rsidDel="00000000" w:rsidR="00000000" w:rsidRPr="00000000">
        <w:rPr>
          <w:rtl w:val="0"/>
        </w:rPr>
        <w:t xml:space="preserve">Структура дохідної частини Центру на 2022 рік складається з доходів від НСЗУ- 18975748,37 грн. (основний пакет – 17997323,87 грн., вакцинація – 937927,00 грн., пакет туберкульозу – 40497,50 грн.) та міського бюджету – 5437086,27 грн., інші надходження на суму –  79638,32 грн., залишок коштів минулого року (НСЗУ) – 2902426,15 грн.,  всього – 27394899,11 грн. </w:t>
      </w:r>
    </w:p>
    <w:p w:rsidR="00000000" w:rsidDel="00000000" w:rsidP="00000000" w:rsidRDefault="00000000" w:rsidRPr="00000000" w14:paraId="0000017D">
      <w:pPr>
        <w:ind w:firstLine="680"/>
        <w:jc w:val="both"/>
        <w:rPr/>
      </w:pPr>
      <w:r w:rsidDel="00000000" w:rsidR="00000000" w:rsidRPr="00000000">
        <w:rPr>
          <w:rtl w:val="0"/>
        </w:rPr>
        <w:t xml:space="preserve">Витратна частина бюджету складає 25779207,15 грн., (заробітна плата та нарахування на зарплату – 22595137,96 грн.)</w:t>
      </w:r>
    </w:p>
    <w:p w:rsidR="00000000" w:rsidDel="00000000" w:rsidP="00000000" w:rsidRDefault="00000000" w:rsidRPr="00000000" w14:paraId="0000017E">
      <w:pPr>
        <w:ind w:firstLine="680"/>
        <w:jc w:val="both"/>
        <w:rPr/>
      </w:pPr>
      <w:r w:rsidDel="00000000" w:rsidR="00000000" w:rsidRPr="00000000">
        <w:rPr>
          <w:rtl w:val="0"/>
        </w:rPr>
        <w:t xml:space="preserve">Структура видатків КНП СМР Сквирський МЦПМСД (з усіх джерел фінансування) за 2022 рік:</w:t>
      </w:r>
    </w:p>
    <w:p w:rsidR="00000000" w:rsidDel="00000000" w:rsidP="00000000" w:rsidRDefault="00000000" w:rsidRPr="00000000" w14:paraId="0000017F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за кошти місцевого бюджету було здійснено касові видатки в сумі 5437086,27 грн., а саме:</w:t>
      </w:r>
    </w:p>
    <w:p w:rsidR="00000000" w:rsidDel="00000000" w:rsidP="00000000" w:rsidRDefault="00000000" w:rsidRPr="00000000" w14:paraId="00000180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2111 – 2845900,00 грн. (оплата праці працівникам ФАПів та невідкладної допомоги)</w:t>
      </w:r>
    </w:p>
    <w:p w:rsidR="00000000" w:rsidDel="00000000" w:rsidP="00000000" w:rsidRDefault="00000000" w:rsidRPr="00000000" w14:paraId="00000181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2120 – 626100,00 грн. (нарахування на оплату праці);</w:t>
      </w:r>
    </w:p>
    <w:p w:rsidR="00000000" w:rsidDel="00000000" w:rsidP="00000000" w:rsidRDefault="00000000" w:rsidRPr="00000000" w14:paraId="00000182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2210 – 48500,00 грн. (придбання бензину для заправки автомобіля невідкладної допомоги);</w:t>
      </w:r>
    </w:p>
    <w:p w:rsidR="00000000" w:rsidDel="00000000" w:rsidP="00000000" w:rsidRDefault="00000000" w:rsidRPr="00000000" w14:paraId="00000183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2220 – 22033,00 грн. (придбання вакцини «туберкулін»);</w:t>
      </w:r>
    </w:p>
    <w:p w:rsidR="00000000" w:rsidDel="00000000" w:rsidP="00000000" w:rsidRDefault="00000000" w:rsidRPr="00000000" w14:paraId="00000184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2270 – 1894553,27 грн. (оплата енергоносіїв)</w:t>
      </w:r>
    </w:p>
    <w:p w:rsidR="00000000" w:rsidDel="00000000" w:rsidP="00000000" w:rsidRDefault="00000000" w:rsidRPr="00000000" w14:paraId="00000185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за кошти НСЗУ було здійснено касові видатки у сумі 20 342 120,88 грн., а саме:</w:t>
      </w:r>
    </w:p>
    <w:p w:rsidR="00000000" w:rsidDel="00000000" w:rsidP="00000000" w:rsidRDefault="00000000" w:rsidRPr="00000000" w14:paraId="00000187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2111 – 15 780 591,94 грн. (оплата праці)</w:t>
      </w:r>
    </w:p>
    <w:p w:rsidR="00000000" w:rsidDel="00000000" w:rsidP="00000000" w:rsidRDefault="00000000" w:rsidRPr="00000000" w14:paraId="00000188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2120 – 3 342 546,02 грн. (нарахування на оплату праці)</w:t>
      </w:r>
    </w:p>
    <w:p w:rsidR="00000000" w:rsidDel="00000000" w:rsidP="00000000" w:rsidRDefault="00000000" w:rsidRPr="00000000" w14:paraId="00000189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2210 – 477 847,37 грн. (придбання канцтоварів, бланків, господарських, будівельних товарів, автозапчастин, паливно-мастильних товарів, комп’ютерної техніки)</w:t>
      </w:r>
    </w:p>
    <w:p w:rsidR="00000000" w:rsidDel="00000000" w:rsidP="00000000" w:rsidRDefault="00000000" w:rsidRPr="00000000" w14:paraId="0000018A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2220 – 404848,31 грн. (придбання медикаментів та виробів медичного призначення, швидких тестів, лабораторних реактивів для біохімічного аналізатора)</w:t>
      </w:r>
    </w:p>
    <w:p w:rsidR="00000000" w:rsidDel="00000000" w:rsidP="00000000" w:rsidRDefault="00000000" w:rsidRPr="00000000" w14:paraId="0000018B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2240 – 329226,15 грн. (послуги з технічного обслуговування комп’ютерних програм, телекомунікаційні послуги, послуги з технічного обслуговування медичного обладнання, заправка картриджів, перезарядка вогнегасників)</w:t>
      </w:r>
    </w:p>
    <w:p w:rsidR="00000000" w:rsidDel="00000000" w:rsidP="00000000" w:rsidRDefault="00000000" w:rsidRPr="00000000" w14:paraId="0000018C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2282 – 6400,00 грн. (навчання медичного персоналу)</w:t>
      </w:r>
    </w:p>
    <w:p w:rsidR="00000000" w:rsidDel="00000000" w:rsidP="00000000" w:rsidRDefault="00000000" w:rsidRPr="00000000" w14:paraId="0000018D">
      <w:pPr>
        <w:tabs>
          <w:tab w:val="left" w:leader="none" w:pos="600"/>
          <w:tab w:val="left" w:leader="none" w:pos="1830"/>
          <w:tab w:val="left" w:leader="none" w:pos="3165"/>
        </w:tabs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КЕКВ 2800 – 661,09 грн. (адміністративні послуги) </w:t>
      </w:r>
    </w:p>
    <w:p w:rsidR="00000000" w:rsidDel="00000000" w:rsidP="00000000" w:rsidRDefault="00000000" w:rsidRPr="00000000" w14:paraId="0000018E">
      <w:pPr>
        <w:tabs>
          <w:tab w:val="left" w:leader="none" w:pos="600"/>
          <w:tab w:val="left" w:leader="none" w:pos="1830"/>
          <w:tab w:val="left" w:leader="none" w:pos="3165"/>
        </w:tabs>
        <w:jc w:val="both"/>
        <w:rPr/>
      </w:pPr>
      <w:r w:rsidDel="00000000" w:rsidR="00000000" w:rsidRPr="00000000">
        <w:rPr>
          <w:rtl w:val="0"/>
        </w:rPr>
        <w:t xml:space="preserve">        Отримано медикаментів та виробів медичного призначення, вакцини COVID-19 -  від  централізованого постачання та благодійної допомоги на суму – 3702365,12 грн.</w:t>
      </w:r>
    </w:p>
    <w:p w:rsidR="00000000" w:rsidDel="00000000" w:rsidP="00000000" w:rsidRDefault="00000000" w:rsidRPr="00000000" w14:paraId="0000018F">
      <w:pPr>
        <w:tabs>
          <w:tab w:val="left" w:leader="none" w:pos="600"/>
          <w:tab w:val="left" w:leader="none" w:pos="1830"/>
          <w:tab w:val="left" w:leader="none" w:pos="3165"/>
        </w:tabs>
        <w:jc w:val="both"/>
        <w:rPr/>
      </w:pPr>
      <w:r w:rsidDel="00000000" w:rsidR="00000000" w:rsidRPr="00000000">
        <w:rPr>
          <w:rtl w:val="0"/>
        </w:rPr>
        <w:t xml:space="preserve">        Отримано холодильного обладнання та комп’ютерної техніки – від централізованого постачання та благодійної допомоги на суму – 703350,88 грн.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Директор                                             Гадіяк Л.В.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107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112" w:hanging="152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1">
      <w:start w:val="0"/>
      <w:numFmt w:val="bullet"/>
      <w:lvlText w:val="-"/>
      <w:lvlJc w:val="left"/>
      <w:pPr>
        <w:ind w:left="1704" w:hanging="151.99999999999977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2">
      <w:start w:val="0"/>
      <w:numFmt w:val="bullet"/>
      <w:lvlText w:val="•"/>
      <w:lvlJc w:val="left"/>
      <w:pPr>
        <w:ind w:left="2638" w:hanging="152"/>
      </w:pPr>
      <w:rPr/>
    </w:lvl>
    <w:lvl w:ilvl="3">
      <w:start w:val="0"/>
      <w:numFmt w:val="bullet"/>
      <w:lvlText w:val="•"/>
      <w:lvlJc w:val="left"/>
      <w:pPr>
        <w:ind w:left="3576" w:hanging="151.99999999999955"/>
      </w:pPr>
      <w:rPr/>
    </w:lvl>
    <w:lvl w:ilvl="4">
      <w:start w:val="0"/>
      <w:numFmt w:val="bullet"/>
      <w:lvlText w:val="•"/>
      <w:lvlJc w:val="left"/>
      <w:pPr>
        <w:ind w:left="4515" w:hanging="152"/>
      </w:pPr>
      <w:rPr/>
    </w:lvl>
    <w:lvl w:ilvl="5">
      <w:start w:val="0"/>
      <w:numFmt w:val="bullet"/>
      <w:lvlText w:val="•"/>
      <w:lvlJc w:val="left"/>
      <w:pPr>
        <w:ind w:left="5453" w:hanging="152.0000000000009"/>
      </w:pPr>
      <w:rPr/>
    </w:lvl>
    <w:lvl w:ilvl="6">
      <w:start w:val="0"/>
      <w:numFmt w:val="bullet"/>
      <w:lvlText w:val="•"/>
      <w:lvlJc w:val="left"/>
      <w:pPr>
        <w:ind w:left="6392" w:hanging="152"/>
      </w:pPr>
      <w:rPr/>
    </w:lvl>
    <w:lvl w:ilvl="7">
      <w:start w:val="0"/>
      <w:numFmt w:val="bullet"/>
      <w:lvlText w:val="•"/>
      <w:lvlJc w:val="left"/>
      <w:pPr>
        <w:ind w:left="7330" w:hanging="152"/>
      </w:pPr>
      <w:rPr/>
    </w:lvl>
    <w:lvl w:ilvl="8">
      <w:start w:val="0"/>
      <w:numFmt w:val="bullet"/>
      <w:lvlText w:val="•"/>
      <w:lvlJc w:val="left"/>
      <w:pPr>
        <w:ind w:left="8269" w:hanging="152.0000000000009"/>
      </w:pPr>
      <w:rPr/>
    </w:lvl>
  </w:abstractNum>
  <w:abstractNum w:abstractNumId="3">
    <w:lvl w:ilvl="0">
      <w:start w:val="0"/>
      <w:numFmt w:val="bullet"/>
      <w:lvlText w:val="-"/>
      <w:lvlJc w:val="left"/>
      <w:pPr>
        <w:ind w:left="112" w:hanging="152"/>
      </w:pPr>
      <w:rPr>
        <w:rFonts w:ascii="Times New Roman" w:cs="Times New Roman" w:eastAsia="Times New Roman" w:hAnsi="Times New Roman"/>
        <w:b w:val="0"/>
        <w:i w:val="0"/>
        <w:sz w:val="26"/>
        <w:szCs w:val="26"/>
      </w:rPr>
    </w:lvl>
    <w:lvl w:ilvl="1">
      <w:start w:val="0"/>
      <w:numFmt w:val="bullet"/>
      <w:lvlText w:val="•"/>
      <w:lvlJc w:val="left"/>
      <w:pPr>
        <w:ind w:left="1122" w:hanging="152"/>
      </w:pPr>
      <w:rPr/>
    </w:lvl>
    <w:lvl w:ilvl="2">
      <w:start w:val="0"/>
      <w:numFmt w:val="bullet"/>
      <w:lvlText w:val="•"/>
      <w:lvlJc w:val="left"/>
      <w:pPr>
        <w:ind w:left="2125" w:hanging="152"/>
      </w:pPr>
      <w:rPr/>
    </w:lvl>
    <w:lvl w:ilvl="3">
      <w:start w:val="0"/>
      <w:numFmt w:val="bullet"/>
      <w:lvlText w:val="•"/>
      <w:lvlJc w:val="left"/>
      <w:pPr>
        <w:ind w:left="3127" w:hanging="152"/>
      </w:pPr>
      <w:rPr/>
    </w:lvl>
    <w:lvl w:ilvl="4">
      <w:start w:val="0"/>
      <w:numFmt w:val="bullet"/>
      <w:lvlText w:val="•"/>
      <w:lvlJc w:val="left"/>
      <w:pPr>
        <w:ind w:left="4130" w:hanging="152"/>
      </w:pPr>
      <w:rPr/>
    </w:lvl>
    <w:lvl w:ilvl="5">
      <w:start w:val="0"/>
      <w:numFmt w:val="bullet"/>
      <w:lvlText w:val="•"/>
      <w:lvlJc w:val="left"/>
      <w:pPr>
        <w:ind w:left="5133" w:hanging="152"/>
      </w:pPr>
      <w:rPr/>
    </w:lvl>
    <w:lvl w:ilvl="6">
      <w:start w:val="0"/>
      <w:numFmt w:val="bullet"/>
      <w:lvlText w:val="•"/>
      <w:lvlJc w:val="left"/>
      <w:pPr>
        <w:ind w:left="6135" w:hanging="152"/>
      </w:pPr>
      <w:rPr/>
    </w:lvl>
    <w:lvl w:ilvl="7">
      <w:start w:val="0"/>
      <w:numFmt w:val="bullet"/>
      <w:lvlText w:val="•"/>
      <w:lvlJc w:val="left"/>
      <w:pPr>
        <w:ind w:left="7138" w:hanging="152.0000000000009"/>
      </w:pPr>
      <w:rPr/>
    </w:lvl>
    <w:lvl w:ilvl="8">
      <w:start w:val="0"/>
      <w:numFmt w:val="bullet"/>
      <w:lvlText w:val="•"/>
      <w:lvlJc w:val="left"/>
      <w:pPr>
        <w:ind w:left="8141" w:hanging="152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062D1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Default" w:customStyle="1">
    <w:name w:val="Default"/>
    <w:rsid w:val="001D74F3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 w:val="1"/>
    <w:rsid w:val="00E77F9D"/>
    <w:pPr>
      <w:suppressAutoHyphens w:val="0"/>
      <w:spacing w:after="160"/>
      <w:ind w:left="720"/>
      <w:contextualSpacing w:val="1"/>
    </w:pPr>
    <w:rPr>
      <w:rFonts w:cstheme="minorBidi" w:eastAsiaTheme="minorHAnsi"/>
      <w:sz w:val="28"/>
      <w:szCs w:val="22"/>
      <w:lang w:eastAsia="en-US"/>
    </w:rPr>
  </w:style>
  <w:style w:type="paragraph" w:styleId="a4">
    <w:name w:val="Body Text"/>
    <w:basedOn w:val="a"/>
    <w:link w:val="a5"/>
    <w:uiPriority w:val="99"/>
    <w:unhideWhenUsed w:val="1"/>
    <w:rsid w:val="00E77F9D"/>
    <w:pPr>
      <w:suppressAutoHyphens w:val="0"/>
      <w:spacing w:after="120"/>
    </w:pPr>
    <w:rPr>
      <w:rFonts w:cstheme="minorBidi" w:eastAsiaTheme="minorHAnsi"/>
      <w:sz w:val="28"/>
      <w:szCs w:val="22"/>
      <w:lang w:eastAsia="en-US"/>
    </w:rPr>
  </w:style>
  <w:style w:type="character" w:styleId="a5" w:customStyle="1">
    <w:name w:val="Основной текст Знак"/>
    <w:basedOn w:val="a0"/>
    <w:link w:val="a4"/>
    <w:uiPriority w:val="99"/>
    <w:rsid w:val="00E77F9D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 w:val="1"/>
    <w:unhideWhenUsed w:val="1"/>
    <w:rsid w:val="00B83E60"/>
    <w:rPr>
      <w:color w:val="0000ff"/>
      <w:u w:val="single"/>
    </w:rPr>
  </w:style>
  <w:style w:type="table" w:styleId="a7">
    <w:name w:val="Table Grid"/>
    <w:basedOn w:val="a1"/>
    <w:uiPriority w:val="39"/>
    <w:rsid w:val="000A4D54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8">
    <w:name w:val="Balloon Text"/>
    <w:basedOn w:val="a"/>
    <w:link w:val="a9"/>
    <w:uiPriority w:val="99"/>
    <w:semiHidden w:val="1"/>
    <w:unhideWhenUsed w:val="1"/>
    <w:rsid w:val="003D2D16"/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3D2D16"/>
    <w:rPr>
      <w:rFonts w:ascii="Segoe UI" w:cs="Segoe UI" w:eastAsia="Times New Roman" w:hAnsi="Segoe UI"/>
      <w:sz w:val="18"/>
      <w:szCs w:val="18"/>
      <w:lang w:eastAsia="zh-CN"/>
    </w:rPr>
  </w:style>
  <w:style w:type="paragraph" w:styleId="1" w:customStyle="1">
    <w:name w:val="Абзац списка1"/>
    <w:basedOn w:val="a"/>
    <w:rsid w:val="00F27484"/>
    <w:pPr>
      <w:suppressAutoHyphens w:val="0"/>
      <w:ind w:left="720" w:firstLine="680"/>
      <w:contextualSpacing w:val="1"/>
      <w:jc w:val="both"/>
    </w:pPr>
    <w:rPr>
      <w:rFonts w:ascii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zakon.rada.gov.ua/laws/show/64/2022#n2" TargetMode="External"/><Relationship Id="rId8" Type="http://schemas.openxmlformats.org/officeDocument/2006/relationships/hyperlink" Target="https://zakon.rada.gov.ua/laws/show/2102-IX#Tex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np6gZxuaEM4HBXvPpNGYz26ddw==">AMUW2mVDDpu4UxWnf0dyhqNMNWwkta36Bwsyl+x+A+ihCR+0BECNkWwWrT69ZEBJbIl74EU6CtoQGaVmkZCsEcuIzwMYNdnuLTQrDVaGYrqK9kGXJFxEu2XvUHys83X3A2RcsBYeB2kt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2023-04-11T20:53:00Z</dcterms:created>
  <dc:creator>Пользователь Windows</dc:creator>
</cp:coreProperties>
</file>