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звіту про виконання бюджету Сквирської міської територіальної громади за І квартал 2023 року</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статі 28 Бюджетного кодексу України фінансове управління Сквирської міської ради надає інформацію для публічного обговорення звіту про виконання бюджету Сквирської міської територіальної громади за І квартал 2023 року.</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Доходи</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загального фонду бюджету Сквирської міської територіальної громади за I квартал 2023 року фактично надійшло 74 672 560,71  гривень, що становить 116,2 відсотка до  планових призначень на відповідний період.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I квартал 2023 року (без урахування трансфертів) фактично надійшло 46 660 829,71 гривень, що становить 128,6 відсотків виконання  планових показників доходів на відповідний період.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Порівняно до надходжень I кварталу 2022 року  надходження відповідного періоду 2023 року збільшились на  3 121 017,61 гривень. Темп росту фактичних надходжень за I квартал 2023 року до надходжень відповідного періоду 2022 року становить 107,2 відсотка.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доходів загального фонду найбільшу питому вагу займає податок на доходи фізичних осіб – 60,2 відсотка  , єдиний податок – 21,8 відсотка, плата за землю – 8,9 відсотків, Інші види надходжень займають незначне місце і становлять 9,1 відсоток.</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Динаміка та структура фактичних надходжень (без урахування міжбюджетних трансфертів) до  бюджету Сквирської міської територіальної громади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 I квартал 2023 р</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грн.</w:t>
      </w:r>
      <w:r w:rsidDel="00000000" w:rsidR="00000000" w:rsidRPr="00000000">
        <w:rPr>
          <w:rtl w:val="0"/>
        </w:rPr>
      </w:r>
    </w:p>
    <w:tbl>
      <w:tblPr>
        <w:tblStyle w:val="Table1"/>
        <w:tblW w:w="9488.0" w:type="dxa"/>
        <w:jc w:val="left"/>
        <w:tblInd w:w="10.0" w:type="dxa"/>
        <w:tblLayout w:type="fixed"/>
        <w:tblLook w:val="0000"/>
      </w:tblPr>
      <w:tblGrid>
        <w:gridCol w:w="1992"/>
        <w:gridCol w:w="1542"/>
        <w:gridCol w:w="1843"/>
        <w:gridCol w:w="1308"/>
        <w:gridCol w:w="1527"/>
        <w:gridCol w:w="1276"/>
        <w:tblGridChange w:id="0">
          <w:tblGrid>
            <w:gridCol w:w="1992"/>
            <w:gridCol w:w="1542"/>
            <w:gridCol w:w="1843"/>
            <w:gridCol w:w="1308"/>
            <w:gridCol w:w="1527"/>
            <w:gridCol w:w="1276"/>
          </w:tblGrid>
        </w:tblGridChange>
      </w:tblGrid>
      <w:tr>
        <w:trPr>
          <w:cantSplit w:val="0"/>
          <w:trHeight w:val="2055" w:hRule="atLeast"/>
          <w:tblHeader w:val="0"/>
        </w:trPr>
        <w:tc>
          <w:tcPr>
            <w:tcBorders>
              <w:top w:color="000000" w:space="0" w:sz="8" w:val="single"/>
              <w:left w:color="000000" w:space="0" w:sz="8" w:val="single"/>
              <w:bottom w:color="000000" w:space="0" w:sz="8" w:val="single"/>
              <w:right w:color="000000" w:space="0" w:sz="4" w:val="single"/>
            </w:tcBorders>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План I кварт  2023  року</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 надходження за I кварт 2023  року</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виконання до  плану за I кварт 2023 року</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Фактичні надходження за I кварт 2022  року</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Темп росту факт надх I кварт 2023 року до факт надх 2022року</w:t>
            </w:r>
            <w:r w:rsidDel="00000000" w:rsidR="00000000" w:rsidRPr="00000000">
              <w:rPr>
                <w:rtl w:val="0"/>
              </w:rPr>
            </w:r>
          </w:p>
        </w:tc>
      </w:tr>
      <w:tr>
        <w:trPr>
          <w:cantSplit w:val="0"/>
          <w:trHeight w:val="912"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з доходів фізичних осіб</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22 937 200,00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28 110 329,65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122,6%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28 203 915,02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99,7%</w:t>
            </w:r>
            <w:r w:rsidDel="00000000" w:rsidR="00000000" w:rsidRPr="00000000">
              <w:rPr>
                <w:rtl w:val="0"/>
              </w:rPr>
            </w:r>
          </w:p>
        </w:tc>
      </w:tr>
      <w:tr>
        <w:trPr>
          <w:cantSplit w:val="0"/>
          <w:trHeight w:val="480"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землю</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2 954 000,00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4 153 444,95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140,6%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3 000 553,44</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138,4%</w:t>
            </w:r>
            <w:r w:rsidDel="00000000" w:rsidR="00000000" w:rsidRPr="00000000">
              <w:rPr>
                <w:rtl w:val="0"/>
              </w:rPr>
            </w:r>
          </w:p>
        </w:tc>
      </w:tr>
      <w:tr>
        <w:trPr>
          <w:cantSplit w:val="0"/>
          <w:trHeight w:val="645"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Єдиний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8 121 200,00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10 186 455,40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125,4%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9 853 334,85</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103,4%</w:t>
            </w:r>
            <w:r w:rsidDel="00000000" w:rsidR="00000000" w:rsidRPr="00000000">
              <w:rPr>
                <w:rtl w:val="0"/>
              </w:rPr>
            </w:r>
          </w:p>
        </w:tc>
      </w:tr>
      <w:tr>
        <w:trPr>
          <w:cantSplit w:val="0"/>
          <w:trHeight w:val="563"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Акцизний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1 145 100,00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2 382 658,93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208,1%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1 409 604,17</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169,0%</w:t>
            </w:r>
            <w:r w:rsidDel="00000000" w:rsidR="00000000" w:rsidRPr="00000000">
              <w:rPr>
                <w:rtl w:val="0"/>
              </w:rPr>
            </w:r>
          </w:p>
        </w:tc>
      </w:tr>
      <w:tr>
        <w:trPr>
          <w:cantSplit w:val="0"/>
          <w:trHeight w:val="870"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на нерухоме майно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415 500,00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711 893,41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171,3%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334 800,80</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212,6%</w:t>
            </w:r>
            <w:r w:rsidDel="00000000" w:rsidR="00000000" w:rsidRPr="00000000">
              <w:rPr>
                <w:rtl w:val="0"/>
              </w:rPr>
            </w:r>
          </w:p>
        </w:tc>
      </w:tr>
      <w:tr>
        <w:trPr>
          <w:cantSplit w:val="0"/>
          <w:trHeight w:val="1140"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надання адміністративних послуг</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374 200,00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434 023,87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290 559,55</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149,4%</w:t>
            </w:r>
            <w:r w:rsidDel="00000000" w:rsidR="00000000" w:rsidRPr="00000000">
              <w:rPr>
                <w:rtl w:val="0"/>
              </w:rPr>
            </w:r>
          </w:p>
        </w:tc>
      </w:tr>
      <w:tr>
        <w:trPr>
          <w:cantSplit w:val="0"/>
          <w:trHeight w:val="900"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Інші податки і збори</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322 600,00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682 023,50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211,4%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447 044,27</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152,6%</w:t>
            </w:r>
            <w:r w:rsidDel="00000000" w:rsidR="00000000" w:rsidRPr="00000000">
              <w:rPr>
                <w:rtl w:val="0"/>
              </w:rPr>
            </w:r>
          </w:p>
        </w:tc>
      </w:tr>
      <w:tr>
        <w:trPr>
          <w:cantSplit w:val="0"/>
          <w:trHeight w:val="960" w:hRule="atLeast"/>
          <w:tblHeader w:val="0"/>
        </w:trPr>
        <w:tc>
          <w:tcPr>
            <w:tcBorders>
              <w:top w:color="000000" w:space="0" w:sz="0" w:val="nil"/>
              <w:left w:color="000000" w:space="0" w:sz="8" w:val="single"/>
              <w:bottom w:color="000000" w:space="0" w:sz="8"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Всього доходів (без трансфертів)</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36 269 800,00</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46 660 829,71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128,6%</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43 539 812,10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107,2%</w:t>
            </w:r>
            <w:r w:rsidDel="00000000" w:rsidR="00000000" w:rsidRPr="00000000">
              <w:rPr>
                <w:rtl w:val="0"/>
              </w:rPr>
            </w:r>
          </w:p>
        </w:tc>
      </w:tr>
    </w:tbl>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джерелом  надходжень до загального фонду є податок на доходи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фізичних осіб. Фактичні надходження  цього податку за I квартал 2023 року складають 28 110 329,65 гривень , що становить 122,6 відсотка до  плану на відповідний період. Порівняно до  надходжень 2022 року сума надходжень по податку з доходів фізичних осіб зменшилась  на 93 585,37 гривень.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податку на доходи фізичних осіб найбільшу питому вагу займає податок на доходи  фізичних осіб, що сплачується із заробітної плати – 77,2 відсотки . Виконання планових показників I кварталу 2023 року по цьому виду податку становить 107,9 відсотків. Порівняно з  надходженнями  2022 року   сума надходжень по цьому виду податку  зменшилась на 2 317 608,58 гривень. Зменшення надходжень у 2023 році порівняно з надходженнями 2022 року спричинене сплатою у I кварталі 2022 року  КП  СКГ грошових зобов’язань по акту перевірки № 18818/10-36-07-15/34921014 в сумі 2 097 310,28 гривень.</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Порівняльна таблиця надходжень ПДФО із заробітної плати  по найбільших платниках за I квартал 2023 року та відповідних надходжень  2022 року</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2"/>
        <w:tblW w:w="9204.0" w:type="dxa"/>
        <w:jc w:val="left"/>
        <w:tblInd w:w="10.0" w:type="dxa"/>
        <w:tblLayout w:type="fixed"/>
        <w:tblLook w:val="0000"/>
      </w:tblPr>
      <w:tblGrid>
        <w:gridCol w:w="600"/>
        <w:gridCol w:w="3520"/>
        <w:gridCol w:w="1824"/>
        <w:gridCol w:w="1701"/>
        <w:gridCol w:w="1559"/>
        <w:tblGridChange w:id="0">
          <w:tblGrid>
            <w:gridCol w:w="600"/>
            <w:gridCol w:w="3520"/>
            <w:gridCol w:w="1824"/>
            <w:gridCol w:w="1701"/>
            <w:gridCol w:w="1559"/>
          </w:tblGrid>
        </w:tblGridChange>
      </w:tblGrid>
      <w:tr>
        <w:trPr>
          <w:cantSplit w:val="0"/>
          <w:trHeight w:val="630" w:hRule="atLeast"/>
          <w:tblHeader w:val="0"/>
        </w:trPr>
        <w:tc>
          <w:tcPr>
            <w:tcBorders>
              <w:top w:color="000000" w:space="0" w:sz="8" w:val="single"/>
              <w:left w:color="000000" w:space="0" w:sz="8"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 I кв 2022 року </w:t>
            </w:r>
            <w:r w:rsidDel="00000000" w:rsidR="00000000" w:rsidRPr="00000000">
              <w:rPr>
                <w:rtl w:val="0"/>
              </w:rPr>
            </w:r>
          </w:p>
        </w:tc>
        <w:tc>
          <w:tcPr>
            <w:tcBorders>
              <w:top w:color="000000" w:space="0" w:sz="8" w:val="single"/>
              <w:left w:color="000000" w:space="0" w:sz="0" w:val="nil"/>
              <w:bottom w:color="000000" w:space="0" w:sz="4" w:val="single"/>
              <w:right w:color="000000" w:space="0" w:sz="4"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 I кв 2023 року </w:t>
            </w: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 Сквирської МР</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3661758,4</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3145457,5</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-516 300,93</w:t>
            </w:r>
          </w:p>
        </w:tc>
      </w:tr>
      <w:tr>
        <w:trPr>
          <w:cantSplit w:val="0"/>
          <w:trHeight w:val="315"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фірма Грона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1903242,6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2425863,1</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522 620,49</w:t>
            </w:r>
          </w:p>
        </w:tc>
      </w:tr>
      <w:tr>
        <w:trPr>
          <w:cantSplit w:val="0"/>
          <w:trHeight w:val="315"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1898750,4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2173473,0</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274 722,64</w:t>
            </w:r>
          </w:p>
        </w:tc>
      </w:tr>
      <w:tr>
        <w:trPr>
          <w:cantSplit w:val="0"/>
          <w:trHeight w:val="900"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Охорона здоров'я (КНП СМР СКВИРСЬКА ЦМЛ; КНП СМР СКВИРСЬКИЙ МЦПМСД)</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1679582,0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1658222,3</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-21 359,67</w:t>
            </w:r>
          </w:p>
        </w:tc>
      </w:tr>
      <w:tr>
        <w:trPr>
          <w:cantSplit w:val="0"/>
          <w:trHeight w:val="315"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АФ Розволожжя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711008,0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792819,2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81 811,20</w:t>
            </w:r>
          </w:p>
        </w:tc>
      </w:tr>
      <w:tr>
        <w:trPr>
          <w:cantSplit w:val="0"/>
          <w:trHeight w:val="315"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Сквиратекс</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450655,9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707216,1</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256 560,25</w:t>
            </w:r>
          </w:p>
        </w:tc>
      </w:tr>
      <w:tr>
        <w:trPr>
          <w:cantSplit w:val="0"/>
          <w:trHeight w:val="315"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Сквирський ПНІ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600522,4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602578,1</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2 055,72</w:t>
            </w:r>
          </w:p>
        </w:tc>
      </w:tr>
      <w:tr>
        <w:trPr>
          <w:cantSplit w:val="0"/>
          <w:trHeight w:val="315"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520469,1</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585631,5</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65 162,44</w:t>
            </w:r>
          </w:p>
        </w:tc>
      </w:tr>
      <w:tr>
        <w:trPr>
          <w:cantSplit w:val="0"/>
          <w:trHeight w:val="315"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мiська рада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672701,9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516751,1</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-155 950,81</w:t>
            </w:r>
          </w:p>
        </w:tc>
      </w:tr>
      <w:tr>
        <w:trPr>
          <w:cantSplit w:val="0"/>
          <w:trHeight w:val="623" w:hRule="atLeast"/>
          <w:tblHeader w:val="0"/>
        </w:trPr>
        <w:tc>
          <w:tcPr>
            <w:tcBorders>
              <w:top w:color="000000" w:space="0" w:sz="0" w:val="nil"/>
              <w:left w:color="000000" w:space="0" w:sz="8" w:val="single"/>
              <w:bottom w:color="000000" w:space="0" w:sz="4" w:val="single"/>
              <w:right w:color="000000" w:space="0" w:sz="4" w:val="single"/>
            </w:tcBorders>
            <w:shd w:fill="auto" w:val="cle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shd w:fill="ffffff" w:val="cle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334319,0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514892,4</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180 573,42</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4" w:val="single"/>
            </w:tcBorders>
            <w:shd w:fill="auto" w:val="cle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8" w:val="single"/>
              <w:left w:color="000000" w:space="0" w:sz="0" w:val="nil"/>
              <w:bottom w:color="000000" w:space="0" w:sz="8" w:val="single"/>
              <w:right w:color="000000" w:space="0" w:sz="4" w:val="single"/>
            </w:tcBorders>
            <w:shd w:fill="ffffff" w:val="cle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12 433 009,57</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13 122 904,32</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689 894,75</w:t>
            </w:r>
            <w:r w:rsidDel="00000000" w:rsidR="00000000" w:rsidRPr="00000000">
              <w:rPr>
                <w:rtl w:val="0"/>
              </w:rPr>
            </w:r>
          </w:p>
        </w:tc>
      </w:tr>
    </w:tbl>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Збільшились надходження по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за  I квартал</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року порівняно з надходженнями відповідного періоду 2022 року на 921 898,23 гривень. По Київському обласному військовому комісаріату збільшення на 576 552,0 гривень; 12 ДПРЗ збільшення на 80 239,34 гривень; ГУНП в Київській області збільшення на 265 386,76 гривень.</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податку на доходи фізичних осіб, що сплачується податковими агентами, із доходів платника податку інших ніж заробітна плата спостерігається збільшення надходжень у I кварталі 2023 року порівняно з надходженнями відповідного періоду 2022 року на 1 339 935,88 гривень. Збільшення надходжень спричинене сплатою ФГ Нота податку із дивідендів в сумі 1 621 810,0 гривень.</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Фактичні надходження по платі за землю за I квартал</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 року складають 4 153 444,95 гривень, що становить 140,6 відсотка до  плану на відповідний період. Порівняно з  надходженнями 2022 року   сума надходжень по платі за землю  збільшилась   на 1 152 891,51 гривень.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Плата за землю складається із земельного податку з юридичних осіб – питома вага у структурі плати за землю – 13,1 відсоток ; орендна плата з юридичних осіб – 62,0 відсотка; земельний податок з фізичних осіб – 14,5 відсотка; орендна плата з фізичних осіб – 10,4 відсотка.</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плати за землю найбільшу питому вагу займає орендна плата з юридичних осіб. Фактичні надходження цього податку за I квартал 2023 року становлять 2 576 737,40 гривень. Порівняно з  надходженнями 2022 року   сума надходжень по орендній платі з юридичних осіб збільшилась  на 270 665,41 гривень. </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орендної плати за землю  по найбільших платниках за I квартал 2023 року та відповідних надходжень за 2022 рік</w:t>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грн.</w:t>
      </w:r>
      <w:r w:rsidDel="00000000" w:rsidR="00000000" w:rsidRPr="00000000">
        <w:rPr>
          <w:rtl w:val="0"/>
        </w:rPr>
      </w:r>
    </w:p>
    <w:tbl>
      <w:tblPr>
        <w:tblStyle w:val="Table3"/>
        <w:tblW w:w="9204.0" w:type="dxa"/>
        <w:jc w:val="left"/>
        <w:tblInd w:w="10.0" w:type="dxa"/>
        <w:tblLayout w:type="fixed"/>
        <w:tblLook w:val="0000"/>
      </w:tblPr>
      <w:tblGrid>
        <w:gridCol w:w="700"/>
        <w:gridCol w:w="3280"/>
        <w:gridCol w:w="1964"/>
        <w:gridCol w:w="1843"/>
        <w:gridCol w:w="1417"/>
        <w:tblGridChange w:id="0">
          <w:tblGrid>
            <w:gridCol w:w="700"/>
            <w:gridCol w:w="3280"/>
            <w:gridCol w:w="1964"/>
            <w:gridCol w:w="1843"/>
            <w:gridCol w:w="1417"/>
          </w:tblGrid>
        </w:tblGridChange>
      </w:tblGrid>
      <w:tr>
        <w:trPr>
          <w:cantSplit w:val="0"/>
          <w:trHeight w:val="960" w:hRule="atLeast"/>
          <w:tblHeader w:val="0"/>
        </w:trPr>
        <w:tc>
          <w:tcPr>
            <w:tcBorders>
              <w:top w:color="000000" w:space="0" w:sz="8" w:val="single"/>
              <w:left w:color="000000" w:space="0" w:sz="8" w:val="single"/>
              <w:bottom w:color="000000" w:space="0" w:sz="8" w:val="single"/>
              <w:right w:color="000000" w:space="0" w:sz="4" w:val="single"/>
            </w:tcBorders>
            <w:vAlign w:val="top"/>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vAlign w:val="top"/>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vAlign w:val="top"/>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за І кв 2022 року</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за І кв 2023 року</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529"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366 890,00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416 176,00</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49 286,00</w:t>
            </w:r>
          </w:p>
        </w:tc>
      </w:tr>
      <w:tr>
        <w:trPr>
          <w:cantSplit w:val="0"/>
          <w:trHeight w:val="578"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299 546,80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331 976,16</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32 429,36</w:t>
            </w:r>
          </w:p>
        </w:tc>
      </w:tr>
      <w:tr>
        <w:trPr>
          <w:cantSplit w:val="0"/>
          <w:trHeight w:val="578"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Шамраївське</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64 394,75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222 845,92</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158 451,17</w:t>
            </w:r>
          </w:p>
        </w:tc>
      </w:tr>
      <w:tr>
        <w:trPr>
          <w:cantSplit w:val="0"/>
          <w:trHeight w:val="443"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ім.Гагаріна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192 904,50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205 131,30</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12 226,80</w:t>
            </w:r>
          </w:p>
        </w:tc>
      </w:tr>
      <w:tr>
        <w:trPr>
          <w:cantSplit w:val="0"/>
          <w:trHeight w:val="443"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ВП Агро капітал</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108 854,05</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108 854,05</w:t>
            </w:r>
          </w:p>
        </w:tc>
      </w:tr>
      <w:tr>
        <w:trPr>
          <w:cantSplit w:val="0"/>
          <w:trHeight w:val="672"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104 188,64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107 756,45</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3 567,81</w:t>
            </w:r>
          </w:p>
        </w:tc>
      </w:tr>
      <w:tr>
        <w:trPr>
          <w:cantSplit w:val="0"/>
          <w:trHeight w:val="458"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97 781,27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104 003,73</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6 222,46</w:t>
            </w:r>
          </w:p>
        </w:tc>
      </w:tr>
      <w:tr>
        <w:trPr>
          <w:cantSplit w:val="0"/>
          <w:trHeight w:val="458"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 Пустоварівський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40 304,65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91 007,90</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50 703,25</w:t>
            </w:r>
          </w:p>
        </w:tc>
      </w:tr>
      <w:tr>
        <w:trPr>
          <w:cantSplit w:val="0"/>
          <w:trHeight w:val="458"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Агрофірма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23 000,00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74 846,39</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51 846,39</w:t>
            </w:r>
          </w:p>
        </w:tc>
      </w:tr>
      <w:tr>
        <w:trPr>
          <w:cantSplit w:val="0"/>
          <w:trHeight w:val="458"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Грона-Партнер</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28 081,00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67 403,81</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39 322,81</w:t>
            </w:r>
          </w:p>
        </w:tc>
      </w:tr>
      <w:tr>
        <w:trPr>
          <w:cantSplit w:val="0"/>
          <w:trHeight w:val="360" w:hRule="atLeast"/>
          <w:tblHeader w:val="0"/>
        </w:trPr>
        <w:tc>
          <w:tcPr>
            <w:tcBorders>
              <w:top w:color="000000" w:space="0" w:sz="0" w:val="nil"/>
              <w:left w:color="000000" w:space="0" w:sz="8" w:val="single"/>
              <w:bottom w:color="000000" w:space="0" w:sz="4" w:val="single"/>
              <w:right w:color="000000" w:space="0" w:sz="4" w:val="single"/>
            </w:tcBorders>
            <w:vAlign w:val="top"/>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"Олвія"</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20 942,05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57 403,78</w:t>
            </w:r>
          </w:p>
        </w:tc>
        <w:tc>
          <w:tcPr>
            <w:tcBorders>
              <w:top w:color="000000" w:space="0" w:sz="0" w:val="nil"/>
              <w:left w:color="000000" w:space="0" w:sz="0" w:val="nil"/>
              <w:bottom w:color="000000" w:space="0" w:sz="4" w:val="single"/>
              <w:right w:color="000000" w:space="0" w:sz="8" w:val="single"/>
            </w:tcBorders>
            <w:vAlign w:val="top"/>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36 461,73</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4" w:val="single"/>
            </w:tcBorders>
            <w:vAlign w:val="top"/>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8" w:val="single"/>
              <w:left w:color="000000" w:space="0" w:sz="0" w:val="nil"/>
              <w:bottom w:color="000000" w:space="0" w:sz="8" w:val="single"/>
              <w:right w:color="000000" w:space="0" w:sz="4" w:val="single"/>
            </w:tcBorders>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1 238 033,66</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1 787 405,49</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549 371,83</w:t>
            </w:r>
            <w:r w:rsidDel="00000000" w:rsidR="00000000" w:rsidRPr="00000000">
              <w:rPr>
                <w:rtl w:val="0"/>
              </w:rPr>
            </w:r>
          </w:p>
        </w:tc>
      </w:tr>
    </w:tbl>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юридичних осіб за  2022 рік  складають 542 084,68</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116,0 відсотків до планових показників  та на 119 563,41 гривень більше фактичних надходжень відповідного періоду  2022 року. </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орендної плати за землю з фізичних осіб за I квартал 2023 року склали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433 565,57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172,9 відсотка. Надходження I кварталу 2023 року більші за надходження відповідного періоду  2022 року на 195 198,15 гривень. </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фізичних осіб за I квартал 2023 року склали 601 057,30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більше фактичних надходжень відповідного періоду 2022 року на 567 464,54 гривень. У зв’язку із воєнним станом, нарахування земельного податку фізичним особам  здійснювалось наприкінці 2022 року. Збільшення надходжень у I кварталі 2023 року спричинене сплатою цього податку за 2022 рік у 2023 році.</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Фактичні надходження єдиного податку за I квартал 2023 року склали 10 186 455,40 гривень, що становить 125,4 відсотка до плану на відповідний період та на 333 120,55 гривень більше фактичних надходжень I кварту 2022 року. </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Єдиний податок з фізичних осіб  займає найбільшу питому вагу у структурі єдиного податку. Фактичні надходження цього податку за I квартал 2023 року склали 4 781 889,69</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108,7 відсотків  до планових показників на відповідний період та більше фактичних надходжень I кварталу 2022 року на 1 017 199,69 гривень.</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єдиному податку  із сільськогосподарських товаровиробників надходження за I квартал 2023 року склали 3 557 450,27 гривень що становить 118,6 відсотків  до планових показників  та на 428 094,97 гривень більше фактичних надходжень   відповідного періоду 2022 року.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єдиного податку із сільськогосподарських товаровиробників по найбільших платниках за I квартал 2023 року та відповідних надходжень  2022 року</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4"/>
        <w:tblW w:w="9204.0" w:type="dxa"/>
        <w:jc w:val="left"/>
        <w:tblInd w:w="10.0" w:type="dxa"/>
        <w:tblLayout w:type="fixed"/>
        <w:tblLook w:val="0000"/>
      </w:tblPr>
      <w:tblGrid>
        <w:gridCol w:w="720"/>
        <w:gridCol w:w="2840"/>
        <w:gridCol w:w="1959"/>
        <w:gridCol w:w="1984"/>
        <w:gridCol w:w="1701"/>
        <w:tblGridChange w:id="0">
          <w:tblGrid>
            <w:gridCol w:w="720"/>
            <w:gridCol w:w="2840"/>
            <w:gridCol w:w="1959"/>
            <w:gridCol w:w="1984"/>
            <w:gridCol w:w="1701"/>
          </w:tblGrid>
        </w:tblGridChange>
      </w:tblGrid>
      <w:tr>
        <w:trPr>
          <w:cantSplit w:val="0"/>
          <w:trHeight w:val="645" w:hRule="atLeast"/>
          <w:tblHeader w:val="0"/>
        </w:trPr>
        <w:tc>
          <w:tcPr>
            <w:tcBorders>
              <w:top w:color="000000" w:space="0" w:sz="8" w:val="single"/>
              <w:left w:color="000000" w:space="0" w:sz="8" w:val="single"/>
              <w:bottom w:color="000000" w:space="0" w:sz="8" w:val="single"/>
              <w:right w:color="000000" w:space="0" w:sz="4" w:val="single"/>
            </w:tcBorders>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І кв 2022 року</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І кв 2023 року</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683"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838 610,38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836 492,55</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-2 117,83</w:t>
            </w:r>
          </w:p>
        </w:tc>
      </w:tr>
      <w:tr>
        <w:trPr>
          <w:cantSplit w:val="0"/>
          <w:trHeight w:val="683"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Агрофірма Розволожжя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50 000,00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464 247,23</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414 247,23</w:t>
            </w:r>
          </w:p>
        </w:tc>
      </w:tr>
      <w:tr>
        <w:trPr>
          <w:cantSplit w:val="0"/>
          <w:trHeight w:val="409"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АФ Колос</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372 000,00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380 000,00</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8 000,00</w:t>
            </w:r>
          </w:p>
        </w:tc>
      </w:tr>
      <w:tr>
        <w:trPr>
          <w:cantSplit w:val="0"/>
          <w:trHeight w:val="409"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 Березна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30 261,33</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149 036,02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118 774,69</w:t>
            </w:r>
          </w:p>
        </w:tc>
      </w:tr>
      <w:tr>
        <w:trPr>
          <w:cantSplit w:val="0"/>
          <w:trHeight w:val="409"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ПСП Україна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146 722,42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146 722,42</w:t>
            </w:r>
          </w:p>
        </w:tc>
      </w:tr>
      <w:tr>
        <w:trPr>
          <w:cantSplit w:val="0"/>
          <w:trHeight w:val="409"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Новагрос</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162 001,37</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130 588,80</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-31 412,57</w:t>
            </w:r>
          </w:p>
        </w:tc>
      </w:tr>
      <w:tr>
        <w:trPr>
          <w:cantSplit w:val="0"/>
          <w:trHeight w:val="409"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100 000,00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100 000,00</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r>
      <w:tr>
        <w:trPr>
          <w:cantSplit w:val="0"/>
          <w:trHeight w:val="409"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ПНВФ "ЮНІС"</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82 800,00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82 800,00</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r>
      <w:tr>
        <w:trPr>
          <w:cantSplit w:val="0"/>
          <w:trHeight w:val="409"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"Надія-10"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84300,00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82 050,36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-2 249,64</w:t>
            </w:r>
          </w:p>
        </w:tc>
      </w:tr>
      <w:tr>
        <w:trPr>
          <w:cantSplit w:val="0"/>
          <w:trHeight w:val="409"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Софія 7</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115 794,58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81 444,20</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-34 350,38</w:t>
            </w:r>
          </w:p>
        </w:tc>
      </w:tr>
      <w:tr>
        <w:trPr>
          <w:cantSplit w:val="0"/>
          <w:trHeight w:val="409" w:hRule="atLeast"/>
          <w:tblHeader w:val="0"/>
        </w:trPr>
        <w:tc>
          <w:tcPr>
            <w:tcBorders>
              <w:top w:color="000000" w:space="0" w:sz="0" w:val="nil"/>
              <w:left w:color="000000" w:space="0" w:sz="8" w:val="single"/>
              <w:bottom w:color="000000" w:space="0" w:sz="0" w:val="nil"/>
              <w:right w:color="000000" w:space="0" w:sz="4" w:val="single"/>
            </w:tcBorders>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 Нота</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21 340,48</w:t>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81 231,83</w:t>
            </w:r>
          </w:p>
        </w:tc>
        <w:tc>
          <w:tcPr>
            <w:tcBorders>
              <w:top w:color="000000" w:space="0" w:sz="0" w:val="nil"/>
              <w:left w:color="000000" w:space="0" w:sz="0" w:val="nil"/>
              <w:bottom w:color="000000" w:space="0" w:sz="0" w:val="nil"/>
              <w:right w:color="000000" w:space="0" w:sz="8" w:val="single"/>
            </w:tcBorders>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59 891,35</w:t>
            </w:r>
          </w:p>
        </w:tc>
      </w:tr>
      <w:tr>
        <w:trPr>
          <w:cantSplit w:val="0"/>
          <w:trHeight w:val="330" w:hRule="atLeast"/>
          <w:tblHeader w:val="0"/>
        </w:trPr>
        <w:tc>
          <w:tcPr>
            <w:tcBorders>
              <w:top w:color="000000" w:space="0" w:sz="8" w:val="single"/>
              <w:left w:color="000000" w:space="0" w:sz="8" w:val="single"/>
              <w:bottom w:color="000000" w:space="0" w:sz="8" w:val="single"/>
              <w:right w:color="000000" w:space="0" w:sz="4" w:val="single"/>
            </w:tcBorders>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1 857 108,14</w:t>
            </w:r>
            <w:r w:rsidDel="00000000" w:rsidR="00000000" w:rsidRPr="00000000">
              <w:rPr>
                <w:rtl w:val="0"/>
              </w:rPr>
            </w:r>
          </w:p>
        </w:tc>
        <w:tc>
          <w:tcPr>
            <w:tcBorders>
              <w:top w:color="000000" w:space="0" w:sz="8" w:val="single"/>
              <w:left w:color="000000" w:space="0" w:sz="0" w:val="nil"/>
              <w:bottom w:color="000000" w:space="0" w:sz="8" w:val="single"/>
              <w:right w:color="000000" w:space="0" w:sz="4" w:val="single"/>
            </w:tcBorders>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2 534 613,41</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677 505,27</w:t>
            </w:r>
            <w:r w:rsidDel="00000000" w:rsidR="00000000" w:rsidRPr="00000000">
              <w:rPr>
                <w:rtl w:val="0"/>
              </w:rPr>
            </w:r>
          </w:p>
        </w:tc>
      </w:tr>
    </w:tbl>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єдиного податку  з юридичних осіб за I квартал 2023 року складають 1 847 115,44 гривень при планових показниках 721 200,0 гривень,  виконання  становить 256,1 відсоток.  Надходження у I кварталі 2023 року збільшились на 922 225,27 гривень порівняно з надходженнями відповідного періоду 2022 року.</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податку на нерухоме майно, відмінне від земельної ділянки склали 711 893,41 гривень, що становить 171,3 відсотка  виконання планових призначень. </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Транспортний податок за I квартал 2023 рік надійшов в сумі 12 500,0 гривень.</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Внутрішні податки на товари та послуги ( акцизний податок) надійшли в сумі 2 382 658,93 гривень, що більше  на 973 054,76  гривень за надходження I кварталу 2022 року. </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плати за надання адміністративних послуг за I квартал 2023 рік склали 434 023,87 гривень. Порівняно з надходженнями  2022 року надходження плати за надання адміністративних послуг збільшились на 143 464,32 гривень.</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адміністративних штрафів та санкцій за I квартал 2023 року склали 54 687,0 гривень.</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Плата за встановлення земельного сервітуту у I кварталі 2023 року складає 6 589,62 гривень.</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від орендної плати за користування цілісним майновим комплексом за I квартал 2023 року склали 161 739,30 гривень, що на 58 019,65 гривень більше за надходження відповідного періоду 2022 року.</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Податок на прибуток у I кварталі 2023 року склав  20 077,99 гривень. Платниками цього податку є редакція газети «Вісник Сквирщини» - 1 686,0 гривень, КП Сквираблагоустрій – 8 706,0 гривень та КП СМР Сквирська центральна аптека № 25 – 9685,99 гривень.</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Рентна плата за I квартал 2023 року склала 100 135,57 гривень. Виконання планових показників цього податку складає 112,4 відсотки.</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мито надійшло  в сумі 82 938,29 гривень.</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Орендна плата за водні об’єкти  склала 3 010,86 гривень.</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Інші неподаткові надходження надійшли в сумі 240 344,87 гривень.</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I квартал 2023 року надійшли трансферти в сумі 28 011 731,0 гривень. Обсяг міжбюджетних трансфертів за  I квартал 2023 року збільшився  на 4 090 328,0 гривень.</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державного бюджету надійшли трансферти в сумі 27 274 100,0 гривень: </w:t>
      </w:r>
    </w:p>
    <w:p w:rsidR="00000000" w:rsidDel="00000000" w:rsidP="00000000" w:rsidRDefault="00000000" w:rsidRPr="00000000" w14:paraId="000001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освітня субвенція в сумі 19 368 500,0 гривень, що менше порівняно із обсягом освітньої субвенції у I кварталі 2022 році на 3 595 000,0   гривень; </w:t>
      </w:r>
    </w:p>
    <w:p w:rsidR="00000000" w:rsidDel="00000000" w:rsidP="00000000" w:rsidRDefault="00000000" w:rsidRPr="00000000" w14:paraId="000001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базова дотація – 4 885 500,0 гривень;</w:t>
      </w:r>
    </w:p>
    <w:p w:rsidR="00000000" w:rsidDel="00000000" w:rsidP="00000000" w:rsidRDefault="00000000" w:rsidRPr="00000000" w14:paraId="000001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додаткова дотація на здійснення повноважень органів місцевого самоврядування – 3 020 100,0 гривень.</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Дотація з обласного бюджету на здійснення переданих з державного бюджету видатків з утримання закладів освіти та охорони здоров’я складає  474 501,0 гривень та більше надходжень 2022 року на 43 101,0 гривень.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Субвенції з місцевих бюджетів  складають 263 130,0 гривень, що менше надходжень 2022 року на 263 373,0 гривень. </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спеціального фонду бюджету громади за I квартал 2023 року фактично надійшло 1 927 725,15 гривень. </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спеціального фонду складаються з екологічного податку – 84 104,15 гривень, грошових стягнень за шкоду – 11 555,98 гривень, власних надходжень бюджетних установ – 1 832 065,02 гривень. </w:t>
      </w: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Видатки</w:t>
      </w: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видаткову частину загального фонду бюджету Сквирської міської  територіальної громади протягом січня-березня 2023 року спрямовано коштів загального фонду на суму 62 817 615,29 гривень, що на 5 079 673,94 гривень менше, ніж за аналогічний період 2022 року та становить 78,9% до бюджетних призначень звітного періоду, а саме:</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виплату заробітної плати з нарахуваннями працівникам бюджетних установ громади спрямовано кошти в сумі 48 271 392,49 грн, що становить 76,8 відсотка загального обсягу видатків за звітний період;</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проведення розрахунків за спожиті енергоносії та оплату комунальних послуг – 11 993 280,05 грн або 19,1 відсотка від загального обсягу видатків;</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2 552 942,75 грн, що становить 4,1 відсотка.</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Галузева структура використання бюджетних коштів має наступний вигляд:</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управління займає 12,2 відсотка від загального обсягу видатків (7 657 542,75 гривень);</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-освіта займає 67,7 відсотка від загального обсягу видатків (42 503 406,00 гривень);</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-охорона здоров’я – 5,8 відсотка (3 662 443,16 гривень);</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-соціальний захист – 6,1 відсотка (3 839 421,51 гривень);</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-культура і мистецтво – 4,0 відсотка (2 542 630,25 гривень);</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-фізична культура і спорт – 1,2 відсотка (734 223,79 гривень);</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житлово-комунальне господарство – 2,1 відсотка (1 302 447,83 гривень);</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-інша діяльність – 0,9 відсотка (575 500,00 гривень).  </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спеціальному фонду бюджету за звітний період використано кошти в сумі 1 839 495,50  грн, в тому числі:</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плати за послуги, що надаються бюджетними установами здійснені видатки в сумі 268 589,46 грн;</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інших джерел власних надходжень бюджетних установ здійснені видатки в сумі 1 370 262,04 грн; </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коштів переданих із загального фонду до бюджету розвитку використано 200 644,00 гривень.</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Державне управління</w:t>
      </w: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міської ради із загального фонду бюджету територіальної громади використано кошти в сумі 7 538 616,36 грн, що становить 78,0 % планових призначень звітного періоду: </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заробітну плату з нарахуванням працівників міської ради використано кошти в сумі 6 758 926,04 грн  або 89,7 % касових видатків галузі;</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використано кошти в сумі 370 165,51 грн або 4,9 % касових видатків галузі.</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інші видатки склали 409 524,81 гривень, що становить 5,4% до касових видатків галузі. </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 передбачених програмою фінансового забезпечення представницьких витрат та інших видатків, пов’язаних з діяльністю Сквирської міської ради на 2021-2025 роки у І кварталі використано 2 345,00 грн.</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по Програмі розвитку архівної справи у Сквирській міській територіальній громаді  спрямовано 116 581,39 грн (виплата заробітної плати склала 81 587,98 грн, оплата спожитих енергоносіїв та комунальних послуг 34 993,41 грн).</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Освіта</w:t>
      </w: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«Освіта»  із загального фонду бюджету Сквирської міської  територіальної громади (з урахуванням міжбюджетних трансфертів) протягом І кварталу 2023 року спрямовано кошти в сумі 42 503 406,00 гривень, що становить 86,5 відсотка  планових призначень звітного періоду та 67,7 відсотка загального обсягу видатків бюджету. </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заклади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дошкільної освіти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загального фонду бюджету Сквирської міської  територіальної громади спрямовано кошти в сумі 4 955 040,98 грн, що становить 82,2 відсотка  планових призначень звітного періоду та 7,9 відсотка загального обсягу видатків бюджету, з них:</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виплату заробітної плати з нарахуванням спрямовано кошти в сумі 4 053 560,22 гривень або 81,8 відсоти обсягу касових видатків на заклади;</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продукти харчування спрямовано кошти в сумі 162 135,82 гривень або 3,3 %;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кошти в сумі 705 954,35 гривень або 14,2 відсотків обсягу касових видатків на дошкільні заклади;</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кошти в сумі 33 390,59 гривень або 0,7 відсотка обсягу касових видатків на заклади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заклади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загальної середньої освіти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загального фонду бюджету громади протягом І кварталу 2023 року спрямовано кошти в сумі 33 729 471,23 гривень (в тому числі за рахунок освітньої субвенції з державного бюджету – 19 311 314,39 гривень, за рахунок додаткової дотації на здійснення переданих з державного бюджету видатків з утримання закладів освіти та охорони здоров’я на виплату заробітної плати іншим категоріям працівників навчальних закладів – 474 501,00 гривень, базової дотації – 4 788 127,15 гривень,  власних надходжень – 9 155 528,69 гривень), що становить 95,9 відсотка  планових призначень звітного періоду  та 50,3 відсотка загального обсягу видатків бюджету:</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 склала – 26 164 242,54 гривень або 77,6 відсотка обсягу касових видатків на заклади;</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продукти харчування – 236 000,00 гривень або 0,7 відсотка обсягу касових видатків на заклади;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6 968 447,05 гривень або 20,7 відсотків загального обсягу видатків;</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360 781,64 гривень  або 1,0 відсоток обсягу касових видатків на заклади.</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дитячої та юнацької творчості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звітний період із загального фонду бюджету громади використані кошти в сумі 1 118 582,05 гривень, що складає 1,8 відсотка загального обсягу бюджету:</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 – 1 015 238,12 гривень або 90,8 відсотка касових видатків на заклад;</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94 436,09 гривень або 8,4 відсотка касових видатків;</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інших видатків – 8 907,84 гривень або 0,8 відсотка касових видатків. </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централізованої бухгалтерії відділу освіти, господарської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1 146 913,63 гривень, що становить 1,8 відсотка від загального обсягу видатків бюджету, а саме на:</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 – 1 068 493,89 гривень  або 93,2 відсотка видатків на  заклади;</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53 971,45 гривень або 4,7 відсотка видатків на  заклад;</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24 448,29 гривень, що становить 2,1 відсотки до проведених касових видатків на заклади.</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професійного розвитку педагогічних працівників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 94 859,39 гривень, або 0,2 відсотка від загального обсягу видатків бюджету, а саме на:</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89 453,04 гривень  або 94,3 відсотка видатків на  заклад;</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5 405,71 гривень або 5,7 відсотка видатків на  заклади;</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становлять 0,64 гривень. </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з надання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спеціалізованої освіти мистецькими школами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 1 149 696,36 гривень, або 1,8 відсотка від загального обсягу видатків бюджету, а саме на:</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1 038 868,41 гривень  або 90,4 відсотка видатків на  заклад;</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99 910,11 гривень або 8,7 відсотка видатків на  заклад;</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становлять 10 917,84 гривень, або 0,9 відсотка до проведених видатків на заклад.</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та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інклюзивно-ресурсного центру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коштів місцевого бюджету використано 54 865,99 гривень з них на виплату заробітної плати з нарахуваннями непедагогічним працівникам направлено 24 028,44 гривень та на оплату енергоносіїв використано 27 787,55 гривень інші видатки склали 3050,00 гривень.</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здійснення переданих видатків у сфері освіти за рахунок коштів освітньої субвенції на оплату праці з нарахуваннями педагогічним працівникам інклюзивно-ресурсного центру направлено коштів на суму 179 602,27 гривень. Надано послуги 30 дітям з особливими освітніми потребами, які перебувають на обліку. </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використано 72 564,10 гривень.</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виплату допомоги дітям-сиротам, яким у 2023 році виповниться 18 років спрямовано 1 810,00 гривень (1 дитина). </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Охорона здоров’я </w:t>
      </w: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«Охорона здоров’я» із загального фонду бюджету Сквирської міської територіальної громади протягом січня-березня 2023 року спрямовано кошти в сумі 3 662 443,16 гривень, що становить 62,9 відсотка  планових призначень звітного періоду та 5,8 відсотка загального обсягу видатків бюджету. </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виплату заробітної плати з нарахуваннями працівникам фельдшерсько-акушерських пунктів спрямовано 549 000,00 гривень та працівникам  відділення невідкладної допомоги 246 578,44 гривень.</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використано 2 837 580,88 гривень або 71,2% видатків на галузь.</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пальне для заправки автомобілів для надання невідкладної допомоги на суму 19 410,50 гривень та використано кошти у сумі 9 873,34 гривень на укомплектування медикаментами та перев’язувальними матеріалами фельдшерські медичні сумки.    </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Соціальний захист та соціальне забезпечення</w:t>
      </w: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звітний період на галузь «Соціальний захист та соціальне забезпечення» спрямовано 3 839 421,51 гривень, що становить 6,1 відсотка від проведених касових видатків з бюджету та 80,7 відсотка до бюджетних призначень на звітний період.</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Центром надання соціальних послуг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протягом звітного періоду використано коштів на суму 2 540 348,11 гривень, або 66,2 відсотка до проведених касових видатків на галузь.</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заробітну плату з нарахуваннями використано 2 036 402,37 гривень, або 80,2 відсотка до проведених видатків установи.</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направлено 482 377,63 гривень або 19,0 відсотків.</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інші видатки спрямовано 21 568,11 гривень або 0,8 відсотка до проведених видатків установи.</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 передбачених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програмою «Турбота»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використано 468 040,00 гривень (надано 45 особам допомогу на лікування та вирішення соціально-побутових проблем на суму 150 000,00 гривень та допомогу 98 мобілізованим громадянам на суму 294 000,00 гривень і допомогу на поховання 3 військовослужбовців на суму 24 040,00 гривень).</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Програму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впорядкування безоплатного та пільгового відпуску лікарських засобів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 спрямовано 115 183,08 гривень. Послугою скористалося 43 осіби та виписано 92 рецепти.</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Комплексну програму соціальної підтримки учасників АТО та операції об’єднаних сил, членів їх сімей, вшанування пам’яті загиблих (померлих) на 2022-2025 спрямовано 83 800,00 гривень 16 особам.</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здійснення компенсації фізичним особам, що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спрямовано 280 563,72 гривень.</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соціальної підтримки дітей та сімей «Надія»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звітному періоді використано 351 486,60 гривень для виплати заробітної плати з нарахуваннями працівникам закладу спрямовано 301 256,46 гривень на оплату комунальних послуг та енергоносіїв спрямовано 47 723,42 гривень, інші видатки склали 2 506,72 гривень.</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Культура і мистецтво</w:t>
      </w: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загального фонду бюджету Сквирської міської територіальної громади на утримання установ і закладів культури за січень-березень 2023 року спрямовано кошти в сумі  2 542 630,25 гривень, що становить 74,8 відсотків планових призначень звітного періоду та 4,0 відсотка загального обсягу видатків бюджету. </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бібліотек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спрямовано кошти в сумі 861 596,38 гривень. що становить 65,4 відсотка планових призначень звітного періоду та 33,9 відсотка до проведених видатків на галузь:</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794 798,61 гривень, що становить 92,2 відсотки касових видатків на заклад;</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55 815,04 гривень або 6,5 відсотки загального обсягу видатків за звітний період;  </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витрати –  10 982,73 гривень.</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музею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громади спрямовано кошти в сумі 73 037,67 гривень, що становить 82,6 відсотка планових призначень звітного періоду:</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65 908,14 гривень,  що становить 90,2 відсотка касових видатків на заклад;</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7 110,52 гривень або 9,7 відсотка загального обсягу видатків за звітний період;  </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19,01 гривні.</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будинків культури, клубів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територіальної громади використано кошти в сумі 1 363 410,59 гривень, що становить 79,1 відсотка планових призначень звітного періоду та 53,6 відсотків загального обсягу проведених видатків на галузь:</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ff0000"/>
          <w:sz w:val="28"/>
          <w:szCs w:val="28"/>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виплату заробітної плати з нарахуваннями спрямовано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1 200 308,99 гривень,  що становить 88,0 відсотків обсягу касових видатків на</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заклади;</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оплату комунальних послуг та енергоносіїв витрачено 89 709,26 гривень або 6,6 відсотків від загального обсягу видатків на вищезазначені заклади;</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73 392,34 гривень або 5,4 відсотка від обсягу касових видатків на заклади. </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централізованої бухгалтерії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відділу культури спрямовано коштів в сумі 242 885,61 гривень, що становить 91,4 відсотки планових призначень звітного період:</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заробітну плату з нарахуваннями – 236 054,07 гривень, що становить 97,2 відсотки обсягу касових видатків на заклад;</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енергоносії спрямовано 5 260,92 гривень, що складає 2,2% обсягу касових видатків на заклад;</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1 570,62 гривень, що становить 0,6% загального обсягу проведених видатків на заклад.</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ourier New" w:cs="Courier New" w:eastAsia="Courier New" w:hAnsi="Courier New"/>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проведення заходів в галузі культури і мистецтва використано 1700,00 гривень.</w:t>
      </w: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Фізична культура і спорт</w:t>
      </w: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установ і закладів фізичної культури і спорту та проведення спортивної роботи в громаді із загального фонду бюджету спрямовано кошти в сумі 734 223,79 гривень, що становить 1,2 % загального обсягу видатків бюджету.</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та навчально-тренувальну роботу комунальної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дитячо-юнацької спортивної школи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звітний період із загального фонду бюджету громади спрямовано кошти в сумі 730 508,79 гривень, що становить 89,4 % планових призначень звітного періоду:</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праці з нарахуваннями – 623 012,42 гривень або 85,3 % витрат;</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105 786,37 гривень. або 14,5 % загальних видатків на заклад;</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витрати – 1 710,00 гривень або 0,2 % загального обсягу видатків за звітний період.</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спортивно-масової роботи з дітьми направлено 3 715,00 грн.</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Житлово - комунальне господарство</w:t>
      </w: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галузь протягом звітного періоду спрямовано 1 302 447,83 гривень, що становить 2,1% від проведених видатків за відповідний період з бюджету громади.</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збору та вивезення сміття і відходів використано 6 422,00 гривень.</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благоустрій населених пунктів із загального фонду бюджету за звітний період використано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1 296 025,83 гривень, що</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становить  99,5</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 загального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обсягу видатків галузь, у тому числі спрямовано на:</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1 155 507,94 гривень;</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844,78 гривень;</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139673,11 гривень.</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w:t>
        <w:tab/>
        <w:tab/>
        <w:tab/>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Економічна діяльність</w:t>
      </w:r>
      <w:r w:rsidDel="00000000" w:rsidR="00000000" w:rsidRPr="00000000">
        <w:rPr>
          <w:rtl w:val="0"/>
        </w:rPr>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та розвиток автомобільних доріг та дорожньої інфраструктури у звітному періоді використано 566 000,00 гривень, що становить 0,9 відсотка від проведених видатків із бюджету громади.</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виплату заробітної плати з нарахуваннями – 516 000,00 гривень.</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придбання паливно-мастильних матеріалів використано 50 000,00 гривень. </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Інша діяльність</w:t>
      </w:r>
      <w:r w:rsidDel="00000000" w:rsidR="00000000" w:rsidRPr="00000000">
        <w:rPr>
          <w:rtl w:val="0"/>
        </w:rPr>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січень-березень 2023 року резервний фонд місцевого бюджету не використовувався.</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 xml:space="preserve">На заходи та роботи з мобілізаційної підготовки місцевого значення використано 9 500,00 гривень.</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Міжбюджетні трансферти</w:t>
      </w: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звітному періоді перераховано 190 000,00 гривень субвенції з місцевого бюджету державному бюджету на виконання програм соціально-економічного розвитку регіонів для придбання компресора високого тиску BAUER RE-100-TW  для 12 ДПРЗ ГУДСНС України у Київській області.</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Бюджет розвитку</w:t>
      </w:r>
      <w:r w:rsidDel="00000000" w:rsidR="00000000" w:rsidRPr="00000000">
        <w:rPr>
          <w:rtl w:val="0"/>
        </w:rPr>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коштів, що передаються із загального фонду бюджету до спеціального фонду (бюджету розвитку)  спрямовано 200 644,00 гривень, у тому числі за об’єктами на:</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технічного нагляд по капітальному ремонту частини дорожнього покриття по вул. Лівобережна від будинку №60 до перехрестя з вул. Польовою в м. Сквира» - 10 644,00 гривень (погашення кредиторської заборгованості, що виникла станом на 01.01.2023 року).</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компресора високого тиску BAUER RE-100-TW  для 12 ДПРЗ ГУДСНС України у Київській області – 190 000,00 гривень.</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Заборгованість</w:t>
      </w: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1 квітня 2023 року кредиторська заборгованість по загальному фонду склала 697 442,32 гривень у тому числі за:</w:t>
      </w:r>
    </w:p>
    <w:p w:rsidR="00000000" w:rsidDel="00000000" w:rsidP="00000000" w:rsidRDefault="00000000" w:rsidRPr="00000000" w14:paraId="000001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виплатою заробітної плати з нарахуваннями 141 246,24 гривні;</w:t>
      </w:r>
    </w:p>
    <w:p w:rsidR="00000000" w:rsidDel="00000000" w:rsidP="00000000" w:rsidRDefault="00000000" w:rsidRPr="00000000" w14:paraId="000001C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оплатою продуктів харчування – 23 799,73 гривень;</w:t>
      </w:r>
    </w:p>
    <w:p w:rsidR="00000000" w:rsidDel="00000000" w:rsidP="00000000" w:rsidRDefault="00000000" w:rsidRPr="00000000" w14:paraId="000001C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оплатою енергоносіїв – 21 899,26 гривень;</w:t>
      </w:r>
    </w:p>
    <w:p w:rsidR="00000000" w:rsidDel="00000000" w:rsidP="00000000" w:rsidRDefault="00000000" w:rsidRPr="00000000" w14:paraId="000001D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іншими незахищеними статтями видатків – 510 497,09 гривень.</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спеціальним фондом по капітальних видатках боргові зобов’язання складають </w:t>
      </w:r>
      <w:r w:rsidDel="00000000" w:rsidR="00000000" w:rsidRPr="00000000">
        <w:rPr>
          <w:sz w:val="28"/>
          <w:szCs w:val="28"/>
          <w:rtl w:val="0"/>
        </w:rPr>
        <w:t xml:space="preserve">4 285 678,21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Виникнення кредиторської заборгованості пов’язане з введенням воєнного стану на території України відповідно до умов Закону України «Про правовий режим воєнного стану», Указу Президента України від 24.02.2022 року № 64/2022 «Про введення воєнного стану в Україні», та по причині обмежень проведення частини платежів Держказначейством відповідно до постанови Кабінету Міністрів України від 09 червня 2021 року № 590 «Про затвердження Порядку виконання повноважень Державною казначейською службою в особливому режимі в умовах воєнного стану».</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Дебіторська заборгованість станом на 01 квітня 2023 року відсутня.</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фінансового управління</w:t>
      </w: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Ірина КРУКІВСЬКА</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99" w:top="142" w:left="1701"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211" w:hanging="360"/>
      </w:pPr>
      <w:rPr>
        <w:rFonts w:ascii="Times New Roman" w:cs="Times New Roman" w:eastAsia="Times New Roman" w:hAnsi="Times New Roman"/>
        <w:vertAlign w:val="baseline"/>
      </w:rPr>
    </w:lvl>
    <w:lvl w:ilvl="1">
      <w:start w:val="1"/>
      <w:numFmt w:val="bullet"/>
      <w:lvlText w:val="o"/>
      <w:lvlJc w:val="left"/>
      <w:pPr>
        <w:ind w:left="1931" w:hanging="360"/>
      </w:pPr>
      <w:rPr>
        <w:rFonts w:ascii="Courier New" w:cs="Courier New" w:eastAsia="Courier New" w:hAnsi="Courier New"/>
        <w:vertAlign w:val="baseline"/>
      </w:rPr>
    </w:lvl>
    <w:lvl w:ilvl="2">
      <w:start w:val="1"/>
      <w:numFmt w:val="bullet"/>
      <w:lvlText w:val="▪"/>
      <w:lvlJc w:val="left"/>
      <w:pPr>
        <w:ind w:left="2651" w:hanging="360"/>
      </w:pPr>
      <w:rPr>
        <w:rFonts w:ascii="Noto Sans Symbols" w:cs="Noto Sans Symbols" w:eastAsia="Noto Sans Symbols" w:hAnsi="Noto Sans Symbols"/>
        <w:vertAlign w:val="baseline"/>
      </w:rPr>
    </w:lvl>
    <w:lvl w:ilvl="3">
      <w:start w:val="1"/>
      <w:numFmt w:val="bullet"/>
      <w:lvlText w:val="●"/>
      <w:lvlJc w:val="left"/>
      <w:pPr>
        <w:ind w:left="3371" w:hanging="360"/>
      </w:pPr>
      <w:rPr>
        <w:rFonts w:ascii="Noto Sans Symbols" w:cs="Noto Sans Symbols" w:eastAsia="Noto Sans Symbols" w:hAnsi="Noto Sans Symbols"/>
        <w:vertAlign w:val="baseline"/>
      </w:rPr>
    </w:lvl>
    <w:lvl w:ilvl="4">
      <w:start w:val="1"/>
      <w:numFmt w:val="bullet"/>
      <w:lvlText w:val="o"/>
      <w:lvlJc w:val="left"/>
      <w:pPr>
        <w:ind w:left="4091" w:hanging="360"/>
      </w:pPr>
      <w:rPr>
        <w:rFonts w:ascii="Courier New" w:cs="Courier New" w:eastAsia="Courier New" w:hAnsi="Courier New"/>
        <w:vertAlign w:val="baseline"/>
      </w:rPr>
    </w:lvl>
    <w:lvl w:ilvl="5">
      <w:start w:val="1"/>
      <w:numFmt w:val="bullet"/>
      <w:lvlText w:val="▪"/>
      <w:lvlJc w:val="left"/>
      <w:pPr>
        <w:ind w:left="4811" w:hanging="360"/>
      </w:pPr>
      <w:rPr>
        <w:rFonts w:ascii="Noto Sans Symbols" w:cs="Noto Sans Symbols" w:eastAsia="Noto Sans Symbols" w:hAnsi="Noto Sans Symbols"/>
        <w:vertAlign w:val="baseline"/>
      </w:rPr>
    </w:lvl>
    <w:lvl w:ilvl="6">
      <w:start w:val="1"/>
      <w:numFmt w:val="bullet"/>
      <w:lvlText w:val="●"/>
      <w:lvlJc w:val="left"/>
      <w:pPr>
        <w:ind w:left="5531" w:hanging="360"/>
      </w:pPr>
      <w:rPr>
        <w:rFonts w:ascii="Noto Sans Symbols" w:cs="Noto Sans Symbols" w:eastAsia="Noto Sans Symbols" w:hAnsi="Noto Sans Symbols"/>
        <w:vertAlign w:val="baseline"/>
      </w:rPr>
    </w:lvl>
    <w:lvl w:ilvl="7">
      <w:start w:val="1"/>
      <w:numFmt w:val="bullet"/>
      <w:lvlText w:val="o"/>
      <w:lvlJc w:val="left"/>
      <w:pPr>
        <w:ind w:left="6251" w:hanging="360"/>
      </w:pPr>
      <w:rPr>
        <w:rFonts w:ascii="Courier New" w:cs="Courier New" w:eastAsia="Courier New" w:hAnsi="Courier New"/>
        <w:vertAlign w:val="baseline"/>
      </w:rPr>
    </w:lvl>
    <w:lvl w:ilvl="8">
      <w:start w:val="1"/>
      <w:numFmt w:val="bullet"/>
      <w:lvlText w:val="▪"/>
      <w:lvlJc w:val="left"/>
      <w:pPr>
        <w:ind w:left="6971"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927" w:hanging="360"/>
      </w:pPr>
      <w:rPr>
        <w:rFonts w:ascii="Times New Roman" w:cs="Times New Roman" w:eastAsia="Times New Roman" w:hAnsi="Times New Roman"/>
        <w:vertAlign w:val="baseline"/>
      </w:rPr>
    </w:lvl>
    <w:lvl w:ilvl="1">
      <w:start w:val="1"/>
      <w:numFmt w:val="bullet"/>
      <w:lvlText w:val="o"/>
      <w:lvlJc w:val="left"/>
      <w:pPr>
        <w:ind w:left="1647" w:hanging="360"/>
      </w:pPr>
      <w:rPr>
        <w:rFonts w:ascii="Courier New" w:cs="Courier New" w:eastAsia="Courier New" w:hAnsi="Courier New"/>
        <w:vertAlign w:val="baseline"/>
      </w:rPr>
    </w:lvl>
    <w:lvl w:ilvl="2">
      <w:start w:val="1"/>
      <w:numFmt w:val="bullet"/>
      <w:lvlText w:val="▪"/>
      <w:lvlJc w:val="left"/>
      <w:pPr>
        <w:ind w:left="2367" w:hanging="360"/>
      </w:pPr>
      <w:rPr>
        <w:rFonts w:ascii="Noto Sans Symbols" w:cs="Noto Sans Symbols" w:eastAsia="Noto Sans Symbols" w:hAnsi="Noto Sans Symbols"/>
        <w:vertAlign w:val="baseline"/>
      </w:rPr>
    </w:lvl>
    <w:lvl w:ilvl="3">
      <w:start w:val="1"/>
      <w:numFmt w:val="bullet"/>
      <w:lvlText w:val="●"/>
      <w:lvlJc w:val="left"/>
      <w:pPr>
        <w:ind w:left="3087" w:hanging="360"/>
      </w:pPr>
      <w:rPr>
        <w:rFonts w:ascii="Noto Sans Symbols" w:cs="Noto Sans Symbols" w:eastAsia="Noto Sans Symbols" w:hAnsi="Noto Sans Symbols"/>
        <w:vertAlign w:val="baseline"/>
      </w:rPr>
    </w:lvl>
    <w:lvl w:ilvl="4">
      <w:start w:val="1"/>
      <w:numFmt w:val="bullet"/>
      <w:lvlText w:val="o"/>
      <w:lvlJc w:val="left"/>
      <w:pPr>
        <w:ind w:left="3807" w:hanging="360"/>
      </w:pPr>
      <w:rPr>
        <w:rFonts w:ascii="Courier New" w:cs="Courier New" w:eastAsia="Courier New" w:hAnsi="Courier New"/>
        <w:vertAlign w:val="baseline"/>
      </w:rPr>
    </w:lvl>
    <w:lvl w:ilvl="5">
      <w:start w:val="1"/>
      <w:numFmt w:val="bullet"/>
      <w:lvlText w:val="▪"/>
      <w:lvlJc w:val="left"/>
      <w:pPr>
        <w:ind w:left="4527" w:hanging="360"/>
      </w:pPr>
      <w:rPr>
        <w:rFonts w:ascii="Noto Sans Symbols" w:cs="Noto Sans Symbols" w:eastAsia="Noto Sans Symbols" w:hAnsi="Noto Sans Symbols"/>
        <w:vertAlign w:val="baseline"/>
      </w:rPr>
    </w:lvl>
    <w:lvl w:ilvl="6">
      <w:start w:val="1"/>
      <w:numFmt w:val="bullet"/>
      <w:lvlText w:val="●"/>
      <w:lvlJc w:val="left"/>
      <w:pPr>
        <w:ind w:left="5247" w:hanging="360"/>
      </w:pPr>
      <w:rPr>
        <w:rFonts w:ascii="Noto Sans Symbols" w:cs="Noto Sans Symbols" w:eastAsia="Noto Sans Symbols" w:hAnsi="Noto Sans Symbols"/>
        <w:vertAlign w:val="baseline"/>
      </w:rPr>
    </w:lvl>
    <w:lvl w:ilvl="7">
      <w:start w:val="1"/>
      <w:numFmt w:val="bullet"/>
      <w:lvlText w:val="o"/>
      <w:lvlJc w:val="left"/>
      <w:pPr>
        <w:ind w:left="5967" w:hanging="360"/>
      </w:pPr>
      <w:rPr>
        <w:rFonts w:ascii="Courier New" w:cs="Courier New" w:eastAsia="Courier New" w:hAnsi="Courier New"/>
        <w:vertAlign w:val="baseline"/>
      </w:rPr>
    </w:lvl>
    <w:lvl w:ilvl="8">
      <w:start w:val="1"/>
      <w:numFmt w:val="bullet"/>
      <w:lvlText w:val="▪"/>
      <w:lvlJc w:val="left"/>
      <w:pPr>
        <w:ind w:left="6687"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2"/>
    </w:pPr>
    <w:rPr>
      <w:rFonts w:ascii="Times NR Cyr MT" w:hAnsi="Times NR Cyr MT"/>
      <w:b w:val="1"/>
      <w:w w:val="100"/>
      <w:position w:val="-1"/>
      <w:sz w:val="24"/>
      <w:szCs w:val="20"/>
      <w:effect w:val="none"/>
      <w:vertAlign w:val="baseline"/>
      <w:cs w:val="0"/>
      <w:em w:val="none"/>
      <w:lang w:bidi="ar-SA" w:eastAsia="ru-RU" w:val="uk-UA"/>
    </w:rPr>
  </w:style>
  <w:style w:type="paragraph" w:styleId="Заголовок6">
    <w:name w:val="Заголовок 6"/>
    <w:basedOn w:val="Обычный"/>
    <w:next w:val="Обычный"/>
    <w:autoRedefine w:val="0"/>
    <w:hidden w:val="0"/>
    <w:qFormat w:val="1"/>
    <w:pPr>
      <w:suppressAutoHyphens w:val="1"/>
      <w:spacing w:after="60" w:before="240" w:line="1" w:lineRule="atLeast"/>
      <w:ind w:leftChars="-1" w:rightChars="0" w:firstLineChars="-1"/>
      <w:textDirection w:val="btLr"/>
      <w:textAlignment w:val="top"/>
      <w:outlineLvl w:val="5"/>
    </w:pPr>
    <w:rPr>
      <w:rFonts w:ascii="Calibri" w:cs="Times New Roman" w:eastAsia="Times New Roman" w:hAnsi="Calibri"/>
      <w:b w:val="1"/>
      <w:bCs w:val="1"/>
      <w:w w:val="100"/>
      <w:position w:val="-1"/>
      <w:sz w:val="22"/>
      <w:szCs w:val="22"/>
      <w:effect w:val="none"/>
      <w:vertAlign w:val="baseline"/>
      <w:cs w:val="0"/>
      <w:em w:val="none"/>
      <w:lang w:bidi="ar-SA" w:eastAsia="ru-RU" w:val="ru-RU"/>
    </w:rPr>
  </w:style>
  <w:style w:type="character" w:styleId="Основнойшрифтабзаца,ЗнакЗнакЗнакЗнак">
    <w:name w:val="Основной шрифт абзаца, Знак Знак Знак Знак"/>
    <w:next w:val="Основнойшрифтабзаца,ЗнакЗнакЗнакЗнак"/>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rFonts w:ascii="Times NR Cyr MT" w:hAnsi="Times NR Cyr MT"/>
      <w:w w:val="100"/>
      <w:position w:val="-1"/>
      <w:sz w:val="24"/>
      <w:szCs w:val="20"/>
      <w:effect w:val="none"/>
      <w:vertAlign w:val="baseline"/>
      <w:cs w:val="0"/>
      <w:em w:val="none"/>
      <w:lang w:bidi="ar-SA" w:eastAsia="ru-RU" w:val="uk-UA"/>
    </w:rPr>
  </w:style>
  <w:style w:type="paragraph" w:styleId="Основнойтекст2">
    <w:name w:val="Основной текст 2"/>
    <w:basedOn w:val="Обычный"/>
    <w:next w:val="Основнойтекст2"/>
    <w:autoRedefine w:val="0"/>
    <w:hidden w:val="0"/>
    <w:qFormat w:val="0"/>
    <w:pPr>
      <w:suppressAutoHyphens w:val="1"/>
      <w:spacing w:line="1" w:lineRule="atLeast"/>
      <w:ind w:leftChars="-1" w:rightChars="0" w:firstLineChars="-1"/>
      <w:textDirection w:val="btLr"/>
      <w:textAlignment w:val="top"/>
      <w:outlineLvl w:val="0"/>
    </w:pPr>
    <w:rPr>
      <w:rFonts w:ascii="Times New Roman CYR" w:hAnsi="Times New Roman CYR"/>
      <w:b w:val="1"/>
      <w:w w:val="100"/>
      <w:position w:val="-1"/>
      <w:sz w:val="28"/>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ru-RU" w:val="ru-RU"/>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eastAsia="ru-RU" w:val="ru-RU"/>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eastAsia="ru-RU" w:val="ru-RU"/>
    </w:rPr>
  </w:style>
  <w:style w:type="character" w:styleId="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name w:val="Текст Знак,Текст Знак1 Знак1,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1 Знак2 Знак Знак"/>
    <w:next w:val="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autoRedefine w:val="0"/>
    <w:hidden w:val="0"/>
    <w:qFormat w:val="0"/>
    <w:rPr>
      <w:rFonts w:ascii="Courier New" w:cs="Courier New" w:hAnsi="Courier New"/>
      <w:w w:val="100"/>
      <w:position w:val="-1"/>
      <w:effect w:val="none"/>
      <w:vertAlign w:val="baseline"/>
      <w:cs w:val="0"/>
      <w:em w:val="none"/>
      <w:lang w:eastAsia="ru-RU"/>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sz w:val="20"/>
      <w:szCs w:val="20"/>
      <w:effect w:val="none"/>
      <w:vertAlign w:val="baseline"/>
      <w:cs w:val="0"/>
      <w:em w:val="none"/>
      <w:lang w:bidi="ar-SA" w:eastAsia="ru-RU" w:val="uk-UA"/>
    </w:rPr>
  </w:style>
  <w:style w:type="character" w:styleId="ТекстЗнак1">
    <w:name w:val="Текст Знак1"/>
    <w:next w:val="ТекстЗнак1"/>
    <w:autoRedefine w:val="0"/>
    <w:hidden w:val="0"/>
    <w:qFormat w:val="0"/>
    <w:rPr>
      <w:rFonts w:ascii="Courier New" w:cs="Courier New" w:hAnsi="Courier New"/>
      <w:w w:val="100"/>
      <w:position w:val="-1"/>
      <w:effect w:val="none"/>
      <w:vertAlign w:val="baseline"/>
      <w:cs w:val="0"/>
      <w:em w:val="none"/>
      <w:lang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character" w:styleId="Заголовок6Знак">
    <w:name w:val="Заголовок 6 Знак"/>
    <w:next w:val="Заголовок6Знак"/>
    <w:autoRedefine w:val="0"/>
    <w:hidden w:val="0"/>
    <w:qFormat w:val="0"/>
    <w:rPr>
      <w:rFonts w:ascii="Calibri" w:cs="Times New Roman" w:eastAsia="Times New Roman" w:hAnsi="Calibri"/>
      <w:b w:val="1"/>
      <w:bCs w:val="1"/>
      <w:w w:val="100"/>
      <w:position w:val="-1"/>
      <w:sz w:val="22"/>
      <w:szCs w:val="22"/>
      <w:effect w:val="none"/>
      <w:vertAlign w:val="baseline"/>
      <w:cs w:val="0"/>
      <w:em w:val="none"/>
      <w:lang w:eastAsia="ru-RU" w:val="ru-RU"/>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eastAsia="ru-RU" w:val="ru-RU"/>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m0GAV9/IftcnCDv/mZIpyJUuveQ==">AMUW2mWZb1obqcInNsnU3xitvgY1c/E8whdh6GCcLva3vyLtMW7Z5b0W9FHqNhdJb/d+YaZVQMErLIgXgvQj4jQr5L8t+L3ydOzgablueMpBr50gS4genW0VkTJpDX8Od8F9ySDSKjG1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2011-04-14T11:17:00Z</dcterms:created>
  <dc:creator>Budgett</dc:creator>
</cp:coreProperties>
</file>