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4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43881300" ProgID="PBrush" ShapeID="_x0000_s1027" Type="Embed"/>
        </w:pic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firstLine="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відмову фізичній особі – підприємцю </w:t>
      </w:r>
    </w:p>
    <w:p w:rsidR="00000000" w:rsidDel="00000000" w:rsidP="00000000" w:rsidRDefault="00000000" w:rsidRPr="00000000" w14:paraId="0000000F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Гуцалу Анатолію Павловичу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 наданні в оренду </w:t>
      </w:r>
      <w:r w:rsidDel="00000000" w:rsidR="00000000" w:rsidRPr="00000000">
        <w:rPr>
          <w:b w:val="1"/>
          <w:sz w:val="28"/>
          <w:szCs w:val="28"/>
          <w:rtl w:val="0"/>
        </w:rPr>
        <w:t xml:space="preserve">земельних ділянок водного фонду</w:t>
      </w:r>
    </w:p>
    <w:p w:rsidR="00000000" w:rsidDel="00000000" w:rsidP="00000000" w:rsidRDefault="00000000" w:rsidRPr="00000000" w14:paraId="00000011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для рибогосподарських потреб на території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територіальної громади (с. Каленна)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фізичної особи – підприємця Гуцала Анатолія Павловича вх. №09-2023272/ від 14.03.2023,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Відмовити фізичній особі–підприємцю Гуцалу Анатолію Павловичу у наданні в оренду земельних ділянок водного фонду для рибогосподарських потреб на території Сквирської міської територіальної громади (с. Каленна):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4,7137 га, кадастровий номер 3224082300:03:001:0035,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7,5745 га, кадастровий номер 3224082300:03:001:0036 на підставі ст. 51 Водного кодексу України та ст. 134 Земельного кодексу України.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C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Віктор САЛТАНЮК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Ірина КВАША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Людмила  ПАНІМАТЧЕНКО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F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opa6MB+yrqkjEYBIcACBmlGnEQ==">AMUW2mXWTOeg7hUwdd8BHbUH+M/LP7p/aUoZCPv3w9wLC3QNnYSw4EvDzpGB7KL/aXZAArPj5/jXgb8vTlbMJrNsrivT0nSdx/dAHuj8MlQejAXa99+7LybGFSryPj1h4mHDuigpp3Zr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2023-04-12T19:47:00Z</dcterms:created>
  <dc:creator>Пользователь Windows</dc:creator>
</cp:coreProperties>
</file>