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 2023 року                   м. Сквира                             № ______</w:t>
      </w:r>
    </w:p>
    <w:tbl>
      <w:tblPr>
        <w:tblStyle w:val="Table1"/>
        <w:tblW w:w="563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tblGridChange w:id="0">
          <w:tblGrid>
            <w:gridCol w:w="5637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вул. Максима Рильського, 62, м.Сквира, Білоцерківський район, Київська область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215,2 кв.м (з господарськими спорудами), розташованої за адресою: вул.Максима Рильського, 62, м.Сквира, Білоцерківський район, Київська область, що знаходиться на балансі відділу освіти Сквирської міської ради, шляхом продажу на аукціоні.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215,2 кв.м (з господарськими спорудами), розташованої за адресою: вул.Максима Рильського, 62, м.Сквира, Білоцерківський район, Київська область.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1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1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САЛТАНЮК</w:t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  Ірина КВАША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освіти                                               Світлана РИЧЕНКО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2D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приватизацію нежитлової будівлі, розташованої за адресою: вул.Максима Рильського, 62, м.Сквира, Білоцерківський район, Київська область»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надається дозвіл на приватизацію нежитлової будівлі загальною площею 215,2 кв.м,  розташованої за адресою: вул.Максима Рильського, 62, м.Сквира, Білоцерківський район, Київська область». Об’єкт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 в зв’язку з надходженням заяви  від потенційного покупця про намір приватизації   нежитлової будівлі, розташованої за адресою: вул.Максима Рильського, 62, м.Сквира, Білоцерківський район, Київська область, що є необхідною умовою для початку процедури приватизації майна відповідно до  абз.4 п.7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розділу V «Прикінцеві та перехідні положення» Закону України «Про приватизацію державного і комунального майна».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SVclSFrVhWXOXrfp98bDziYZuA==">CgMxLjAyCGguZ2pkZ3hzOAByITFZNUgzVVk5c0pNRUNQM2ZERy0tWkhzM0tNRE5qMVozOQ==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