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8767679"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Бикову Юрію Геннадійовичу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2500 га по вул. Волоти , 10 у с. Шамраївка </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громадянина Бикова Юрія Геннадійовича                                                         вх. № 09-2023/477 від 20.06.2023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bookmarkStart w:colFirst="0" w:colLast="0" w:name="_heading=h.gjdgxs" w:id="0"/>
      <w:bookmarkEnd w:id="0"/>
      <w:r w:rsidDel="00000000" w:rsidR="00000000" w:rsidRPr="00000000">
        <w:rPr>
          <w:sz w:val="28"/>
          <w:szCs w:val="28"/>
          <w:rtl w:val="0"/>
        </w:rPr>
        <w:t xml:space="preserve">1. Затвердити громадянину  Бикову Юрію Геннадійовичу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Волоти, 10, с. Шамраївка ,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Бикову Юрію Геннадійовичу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Волоти, 10, с. Шамраївка , Білоцерківський район, Київська область, площею 0,2500 га, кадастровий номер 3224088201:01:057:0033.</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Бикову Юрію Геннадійовичу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UX2FIFmactAgepN+iee+yWGs5w==">CgMxLjAyCGguZ2pkZ3hzOAByITEzcGRvbnZvMl9tYmpfNWZKaktMQXFwSEZUazJQSjZXcA==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2023-06-20T08:28:00Z</dcterms:created>
  <dc:creator>user</dc:creator>
</cp:coreProperties>
</file>