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ПРОЄКТ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27 червня  2023 року                     м. Сквира                          №01-35-VІІІ</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1">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VІІІ скликання</w:t>
      </w:r>
    </w:p>
    <w:p w:rsidR="00000000" w:rsidDel="00000000" w:rsidP="00000000" w:rsidRDefault="00000000" w:rsidRPr="00000000" w14:paraId="00000012">
      <w:pPr>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3">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4">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2023 рік:</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322 893 798,18 гривень, у тому числі доходи загального фонду бюджету      311 496 637,18 гривень та доходи спеціального фонду  бюджету  11 397 161,00 гривень згідно з додатком 1 до цього рішення;</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377 837 495,75 гривень, у тому числі видатки загального фонду бюджету 288 080 973,98 гривень та видатки спеціального фонду громади 89 756 521,77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0 гривень згідно з додатком №4 до цього рішення;</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23 415 663,20 гривень згідно з додатком 2 до цього рішення;</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78 359 360,77 гривень джерелом покриття якого визначити надходження коштів із загального фонду бюджету до бюджету розвитку (спеціального фонду) у сумі 70 046 870,77 гривень та кошти вільного залишку спеціального фонду, що склалися станом на 01.01.2023 року у сумі  8 312 490,00 гривень, згідно з додатком 2 до цього рішення;</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128 262 989,16 гривень згідно з додатком 7 до цього рішення».</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 №2, №3, №5, №7  виклавши їх у новій редакції, що додаються. </w:t>
      </w:r>
    </w:p>
    <w:p w:rsidR="00000000" w:rsidDel="00000000" w:rsidP="00000000" w:rsidRDefault="00000000" w:rsidRPr="00000000" w14:paraId="0000001E">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Сквирської міської ради від 27.06.2023 року №01-35-VІІІ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F">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Решту пунктів залишити без змін.</w:t>
      </w:r>
    </w:p>
    <w:p w:rsidR="00000000" w:rsidDel="00000000" w:rsidP="00000000" w:rsidRDefault="00000000" w:rsidRPr="00000000" w14:paraId="00000020">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21">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Погоджено :</w:t>
      </w: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Людмила СЕРГІЄНКО</w:t>
      </w:r>
    </w:p>
    <w:p w:rsidR="00000000" w:rsidDel="00000000" w:rsidP="00000000" w:rsidRDefault="00000000" w:rsidRPr="00000000" w14:paraId="0000002B">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C">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Валентина БАЧИНСЬКА</w:t>
      </w:r>
    </w:p>
    <w:p w:rsidR="00000000" w:rsidDel="00000000" w:rsidP="00000000" w:rsidRDefault="00000000" w:rsidRPr="00000000" w14:paraId="0000002D">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E">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                                                 Олександр ГНАТЮК</w:t>
      </w:r>
    </w:p>
    <w:p w:rsidR="00000000" w:rsidDel="00000000" w:rsidP="00000000" w:rsidRDefault="00000000" w:rsidRPr="00000000" w14:paraId="0000002F">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0">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                                                             Тетяна ВЛАСЮК</w:t>
      </w:r>
    </w:p>
    <w:p w:rsidR="00000000" w:rsidDel="00000000" w:rsidP="00000000" w:rsidRDefault="00000000" w:rsidRPr="00000000" w14:paraId="00000031">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2">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юридичного забезпечення</w:t>
      </w:r>
    </w:p>
    <w:p w:rsidR="00000000" w:rsidDel="00000000" w:rsidP="00000000" w:rsidRDefault="00000000" w:rsidRPr="00000000" w14:paraId="00000033">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ради та діловодства                                                                           Ірина КВАША</w:t>
      </w:r>
    </w:p>
    <w:p w:rsidR="00000000" w:rsidDel="00000000" w:rsidP="00000000" w:rsidRDefault="00000000" w:rsidRPr="00000000" w14:paraId="00000034">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5">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фінансового управління                                    Ірина КРУКІВСЬКА</w:t>
      </w:r>
    </w:p>
    <w:p w:rsidR="00000000" w:rsidDel="00000000" w:rsidP="00000000" w:rsidRDefault="00000000" w:rsidRPr="00000000" w14:paraId="00000038">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9">
      <w:pPr>
        <w:spacing w:after="0" w:before="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A">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3B">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 з питань</w:t>
      </w:r>
    </w:p>
    <w:p w:rsidR="00000000" w:rsidDel="00000000" w:rsidP="00000000" w:rsidRDefault="00000000" w:rsidRPr="00000000" w14:paraId="0000003C">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планування бюджету та фінансів,</w:t>
      </w:r>
    </w:p>
    <w:p w:rsidR="00000000" w:rsidDel="00000000" w:rsidP="00000000" w:rsidRDefault="00000000" w:rsidRPr="00000000" w14:paraId="0000003D">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соціально-економічного розвитку                               </w:t>
        <w:tab/>
        <w:t xml:space="preserve">Максим ЧМИРЬ</w:t>
      </w:r>
    </w:p>
    <w:p w:rsidR="00000000" w:rsidDel="00000000" w:rsidP="00000000" w:rsidRDefault="00000000" w:rsidRPr="00000000" w14:paraId="0000003E">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F">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40">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 з питань</w:t>
      </w:r>
    </w:p>
    <w:p w:rsidR="00000000" w:rsidDel="00000000" w:rsidP="00000000" w:rsidRDefault="00000000" w:rsidRPr="00000000" w14:paraId="00000041">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w:t>
      </w:r>
    </w:p>
    <w:p w:rsidR="00000000" w:rsidDel="00000000" w:rsidP="00000000" w:rsidRDefault="00000000" w:rsidRPr="00000000" w14:paraId="00000042">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господарства, землевпорядкування, будівництва</w:t>
      </w:r>
    </w:p>
    <w:p w:rsidR="00000000" w:rsidDel="00000000" w:rsidP="00000000" w:rsidRDefault="00000000" w:rsidRPr="00000000" w14:paraId="00000043">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                                                                   </w:t>
        <w:tab/>
        <w:t xml:space="preserve">Віктор ДОРОШЕНКО</w:t>
      </w:r>
    </w:p>
    <w:p w:rsidR="00000000" w:rsidDel="00000000" w:rsidP="00000000" w:rsidRDefault="00000000" w:rsidRPr="00000000" w14:paraId="00000044">
      <w:pPr>
        <w:spacing w:after="280" w:before="28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5">
      <w:pPr>
        <w:spacing w:after="280" w:before="28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A">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D">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b w:val="1"/>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zVvBIHLHJGNq11qS2Qzi/MoSTA==">CgMxLjAyCGguZ2pkZ3hzOAByITE3eE5uSEs0MjBBZHp3TVZNZy1YRy1EU0x4b256M2hVOA==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