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 _________ 2023 року                   м. Сквира                         №   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другого типів об’єктів комунальної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власності Сквирської міської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територіальної громади, що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підлягають передачі в оренду в новій редакції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s8eyo1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Доповнити 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ерелік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                                                          Тетяна ВЛАСЮК</w:t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7080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Людмила СЕРГІЄНКО</w:t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   Віктор САЛТАНЮК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C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D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будівництва, комунальної власності</w:t>
      </w:r>
    </w:p>
    <w:p w:rsidR="00000000" w:rsidDel="00000000" w:rsidP="00000000" w:rsidRDefault="00000000" w:rsidRPr="00000000" w14:paraId="0000002E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та житлово-комунального господарства</w:t>
      </w:r>
    </w:p>
    <w:p w:rsidR="00000000" w:rsidDel="00000000" w:rsidP="00000000" w:rsidRDefault="00000000" w:rsidRPr="00000000" w14:paraId="0000002F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міської ради</w:t>
        <w:tab/>
        <w:tab/>
        <w:tab/>
        <w:tab/>
        <w:tab/>
        <w:t xml:space="preserve">                        Марина ТЕРНОВА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4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5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7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8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40" w:before="240"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 проєкту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 Обґрунтування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Підстава розроблення проекту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Законом України «Про оренду державного та комунального майна» та Порядком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перебування такого об’єкта в Переліку Першого типу (Перелік об’єктів, щодо яких прийнято рішення про передачу в оренду на аукціоні) або Переліку другого типу (Перелік об’єктів, щодо яких прийнято рішення про передачу в оренду без проведення аукціону).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Таким чином, з метою підвищення ефективності використання майна, що належить до комунальної власності громади, доцільним є передача об`єктів нерухомого майна в строкове платне користування. За таких обставин, задля можливості передачі в оренду об'єктів нерухомого майна, необхідним є включення цього майна до Переліку об’єктів нерухомого майна, що можуть передаватись в оренду.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Завданням прийняття рішення є включення до Переліку першого типу наступних об'єктів:</w:t>
      </w:r>
    </w:p>
    <w:tbl>
      <w:tblPr>
        <w:tblStyle w:val="Table1"/>
        <w:tblW w:w="9612.0" w:type="dxa"/>
        <w:jc w:val="left"/>
        <w:tblLayout w:type="fixed"/>
        <w:tblLook w:val="0400"/>
      </w:tblPr>
      <w:tblGrid>
        <w:gridCol w:w="4776"/>
        <w:gridCol w:w="4338"/>
        <w:gridCol w:w="498"/>
        <w:tblGridChange w:id="0">
          <w:tblGrid>
            <w:gridCol w:w="4776"/>
            <w:gridCol w:w="4338"/>
            <w:gridCol w:w="498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Частина нежитлового приміщення І поверху лікувального корпусу (приміщення №132)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Київська,12 в м. Сквира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ежитлове приміщення № 3 громадського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Яблунева,1А в с. Чубенці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3,0</w:t>
            </w:r>
          </w:p>
        </w:tc>
      </w:tr>
    </w:tbl>
    <w:p w:rsidR="00000000" w:rsidDel="00000000" w:rsidP="00000000" w:rsidRDefault="00000000" w:rsidRPr="00000000" w14:paraId="00000057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Завданням прийняття рішення є включення до Переліку другого типу наступних об'єктів:</w:t>
      </w:r>
    </w:p>
    <w:tbl>
      <w:tblPr>
        <w:tblStyle w:val="Table2"/>
        <w:tblW w:w="9612.0" w:type="dxa"/>
        <w:jc w:val="left"/>
        <w:tblLayout w:type="fixed"/>
        <w:tblLook w:val="0400"/>
      </w:tblPr>
      <w:tblGrid>
        <w:gridCol w:w="4180"/>
        <w:gridCol w:w="4842"/>
        <w:gridCol w:w="590"/>
        <w:tblGridChange w:id="0">
          <w:tblGrid>
            <w:gridCol w:w="4180"/>
            <w:gridCol w:w="4842"/>
            <w:gridCol w:w="590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ежитлове приміщення на першому поверсі (кабінет № 5, 25)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пров.Зв’язку,2а в селі Горобіївка Білоцерківського району Київської області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29,2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Переліку другого типу - внесення змін в частині зміни (зменьшення) площі орендованого майна по пров. Зв’язку,2А в селі Горобіївка Білоцерківського району Київської області «зменьшити на 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9,2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кв.м, змінивши цифри з «228,3кв.м» на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199,1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»кв.м». </w:t>
      </w:r>
    </w:p>
    <w:p w:rsidR="00000000" w:rsidDel="00000000" w:rsidP="00000000" w:rsidRDefault="00000000" w:rsidRPr="00000000" w14:paraId="0000005E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3. Загальна характеристика та основні положення проєкту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4. Стан нормативно-правової бази у даній сфері правового регулювання.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економічної точки зору – рішення має забезпечити ефективне та цільове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65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Начальниця відділу                       </w:t>
        <w:tab/>
        <w:t xml:space="preserve">                             Марина ТЕРНОВА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6096"/>
        </w:tabs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другого типів об’єктів комунальної власності Сквирської міської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територіальної громади, що підлягають передачі в оренду в новій редакції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tabs>
                <w:tab w:val="left" w:leader="none" w:pos="6096"/>
              </w:tabs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spacing w:after="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spacing w:after="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spacing w:after="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1" w:hanging="3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spacing w:after="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spacing w:after="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spacing w:after="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81">
      <w:pPr>
        <w:tabs>
          <w:tab w:val="left" w:leader="none" w:pos="6096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85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капітального будівництва,</w:t>
      </w:r>
    </w:p>
    <w:p w:rsidR="00000000" w:rsidDel="00000000" w:rsidP="00000000" w:rsidRDefault="00000000" w:rsidRPr="00000000" w14:paraId="00000086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комунальної власності та ЖКГ</w:t>
      </w:r>
    </w:p>
    <w:p w:rsidR="00000000" w:rsidDel="00000000" w:rsidP="00000000" w:rsidRDefault="00000000" w:rsidRPr="00000000" w14:paraId="00000087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88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_________ 2023 року №____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ind w:left="-4" w:hanging="2.000000000000001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119.999999999998" w:type="dxa"/>
        <w:jc w:val="left"/>
        <w:tblLayout w:type="fixed"/>
        <w:tblLook w:val="0400"/>
      </w:tblPr>
      <w:tblGrid>
        <w:gridCol w:w="409"/>
        <w:gridCol w:w="1722"/>
        <w:gridCol w:w="3727"/>
        <w:gridCol w:w="1009"/>
        <w:gridCol w:w="3445"/>
        <w:gridCol w:w="2029"/>
        <w:gridCol w:w="708"/>
        <w:gridCol w:w="2071"/>
        <w:tblGridChange w:id="0">
          <w:tblGrid>
            <w:gridCol w:w="409"/>
            <w:gridCol w:w="1722"/>
            <w:gridCol w:w="3727"/>
            <w:gridCol w:w="1009"/>
            <w:gridCol w:w="3445"/>
            <w:gridCol w:w="2029"/>
            <w:gridCol w:w="708"/>
            <w:gridCol w:w="2071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(адмінбудинок)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271,3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кабінет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с.Цапіївка 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пров. 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Шамраївка,           вул. Медична,14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итлова будівля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пров. Каштановий,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2328,4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цільового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(морг) (кабінети№6,7,12,14,11,13)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з ритуальних послуг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поліклініки (банкомат)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-розміщення банківського терміналу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Антонів, вул.Ювілейна, буд.1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</w:t>
            </w:r>
          </w:p>
          <w:p w:rsidR="00000000" w:rsidDel="00000000" w:rsidP="00000000" w:rsidRDefault="00000000" w:rsidRPr="00000000" w14:paraId="000002C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  <w:p w:rsidR="00000000" w:rsidDel="00000000" w:rsidP="00000000" w:rsidRDefault="00000000" w:rsidRPr="00000000" w14:paraId="000002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«Купальня»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Шкільна,2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«Петриків»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Весняна,54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№ 3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Чубенці вул.Яблунева,1А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лікувального корпусу (приміщення № 132)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                 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</w:tbl>
    <w:p w:rsidR="00000000" w:rsidDel="00000000" w:rsidP="00000000" w:rsidRDefault="00000000" w:rsidRPr="00000000" w14:paraId="000002EC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_________ 2023 року №______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120.0" w:type="dxa"/>
        <w:jc w:val="left"/>
        <w:tblLayout w:type="fixed"/>
        <w:tblLook w:val="0400"/>
      </w:tblPr>
      <w:tblGrid>
        <w:gridCol w:w="410"/>
        <w:gridCol w:w="1735"/>
        <w:gridCol w:w="2339"/>
        <w:gridCol w:w="1013"/>
        <w:gridCol w:w="2492"/>
        <w:gridCol w:w="2053"/>
        <w:gridCol w:w="1107"/>
        <w:gridCol w:w="3971"/>
        <w:tblGridChange w:id="0">
          <w:tblGrid>
            <w:gridCol w:w="410"/>
            <w:gridCol w:w="1735"/>
            <w:gridCol w:w="2339"/>
            <w:gridCol w:w="1013"/>
            <w:gridCol w:w="2492"/>
            <w:gridCol w:w="2053"/>
            <w:gridCol w:w="1107"/>
            <w:gridCol w:w="397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нежитлового приміщення»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пров. Зв`язку,2 А,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на першому поверсі поліклінічного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  вул. Максима Рильського,32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  Сквирський обласний  територіальний центр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 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143,5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                 вул. 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об'єднання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занять з рукопашного бою)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      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            вул. Перемоги,21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2">
            <w:pPr>
              <w:spacing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    (приміщення №16)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«Перспектива»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177,2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 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Лисівці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1735,9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Болсуновського,42б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 Тараса Шевченка,4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</w:tcPr>
          <w:p w:rsidR="00000000" w:rsidDel="00000000" w:rsidP="00000000" w:rsidRDefault="00000000" w:rsidRPr="00000000" w14:paraId="0000047B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6,7,8) громадського будинку 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Самгородок вул. Центральна,25А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адміністративної будівлі (перший поверх, кімната № 103,104)(пошта)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Дулицьке вул. Миру,230 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 вул. Ювілейна, буд.1Б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на першому поверсі (кабінет № 5,25)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Горобіївка вул. Зв’язку, 2а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пункту тимчасового базування бригади ЕМД в Горобіївській АЗПСМ</w:t>
            </w:r>
          </w:p>
        </w:tc>
      </w:tr>
    </w:tbl>
    <w:p w:rsidR="00000000" w:rsidDel="00000000" w:rsidP="00000000" w:rsidRDefault="00000000" w:rsidRPr="00000000" w14:paraId="00000498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9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</w:t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4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1t3h5sf" w:id="5"/>
            <w:bookmarkEnd w:id="5"/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E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77" w:hanging="360"/>
      </w:pPr>
      <w:rPr/>
    </w:lvl>
    <w:lvl w:ilvl="1">
      <w:start w:val="1"/>
      <w:numFmt w:val="lowerLetter"/>
      <w:lvlText w:val="%2."/>
      <w:lvlJc w:val="left"/>
      <w:pPr>
        <w:ind w:left="1397" w:hanging="360"/>
      </w:pPr>
      <w:rPr/>
    </w:lvl>
    <w:lvl w:ilvl="2">
      <w:start w:val="1"/>
      <w:numFmt w:val="lowerRoman"/>
      <w:lvlText w:val="%3."/>
      <w:lvlJc w:val="right"/>
      <w:pPr>
        <w:ind w:left="2117" w:hanging="180"/>
      </w:pPr>
      <w:rPr/>
    </w:lvl>
    <w:lvl w:ilvl="3">
      <w:start w:val="1"/>
      <w:numFmt w:val="decimal"/>
      <w:lvlText w:val="%4."/>
      <w:lvlJc w:val="left"/>
      <w:pPr>
        <w:ind w:left="2837" w:hanging="360"/>
      </w:pPr>
      <w:rPr/>
    </w:lvl>
    <w:lvl w:ilvl="4">
      <w:start w:val="1"/>
      <w:numFmt w:val="lowerLetter"/>
      <w:lvlText w:val="%5."/>
      <w:lvlJc w:val="left"/>
      <w:pPr>
        <w:ind w:left="3557" w:hanging="360"/>
      </w:pPr>
      <w:rPr/>
    </w:lvl>
    <w:lvl w:ilvl="5">
      <w:start w:val="1"/>
      <w:numFmt w:val="lowerRoman"/>
      <w:lvlText w:val="%6."/>
      <w:lvlJc w:val="right"/>
      <w:pPr>
        <w:ind w:left="4277" w:hanging="180"/>
      </w:pPr>
      <w:rPr/>
    </w:lvl>
    <w:lvl w:ilvl="6">
      <w:start w:val="1"/>
      <w:numFmt w:val="decimal"/>
      <w:lvlText w:val="%7."/>
      <w:lvlJc w:val="left"/>
      <w:pPr>
        <w:ind w:left="4997" w:hanging="360"/>
      </w:pPr>
      <w:rPr/>
    </w:lvl>
    <w:lvl w:ilvl="7">
      <w:start w:val="1"/>
      <w:numFmt w:val="lowerLetter"/>
      <w:lvlText w:val="%8."/>
      <w:lvlJc w:val="left"/>
      <w:pPr>
        <w:ind w:left="5717" w:hanging="360"/>
      </w:pPr>
      <w:rPr/>
    </w:lvl>
    <w:lvl w:ilvl="8">
      <w:start w:val="1"/>
      <w:numFmt w:val="lowerRoman"/>
      <w:lvlText w:val="%9."/>
      <w:lvlJc w:val="right"/>
      <w:pPr>
        <w:ind w:left="64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character" w:styleId="apple-tab-span" w:customStyle="1">
    <w:name w:val="apple-tab-span"/>
    <w:basedOn w:val="a0"/>
    <w:rsid w:val="00153D3A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p1ko6guxHHatqNR7f9EXhdvsbA==">CgMxLjAyCWguMWZvYjl0ZTIJaC4yczhleW8xMgloLjNkeTZ2a20yCGguZ2pkZ3hzMgloLjJldDkycDAyCWguMXQzaDVzZjgAciExOEdrSlJsM1BzeVRrRkZLWXR6V2NuR29mdExuT0dlNE0=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