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4">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05pt;height:47.7pt" fillcolor="window" o:ole="" type="#_x0000_t75">
            <v:imagedata r:id="rId1" o:title=""/>
          </v:shape>
          <o:OLEObject DrawAspect="Content" r:id="rId2" ObjectID="_1748692650" ProgID="PBrush" ShapeID="_x0000_i1025" Type="Embed"/>
        </w:pict>
      </w:r>
      <w:r w:rsidDel="00000000" w:rsidR="00000000" w:rsidRPr="00000000">
        <w:rPr>
          <w:rtl w:val="0"/>
        </w:rPr>
      </w:r>
    </w:p>
    <w:p w:rsidR="00000000" w:rsidDel="00000000" w:rsidP="00000000" w:rsidRDefault="00000000" w:rsidRPr="00000000" w14:paraId="00000005">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C">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комунальної  власності  у спільну часткову власність                     громадянці  Лисюк Валентині Андріївні 1/3  частки та                                            громадянці  Мартиненко Людмилі Андріївні  2/3  частки,                             для  будівництва і обслуговування  житлового будинку, господарських будівель і споруд площею 0,2500 га   по вул.  Михайла Грушевського,  26   </w:t>
      </w:r>
    </w:p>
    <w:p w:rsidR="00000000" w:rsidDel="00000000" w:rsidP="00000000" w:rsidRDefault="00000000" w:rsidRPr="00000000" w14:paraId="0000000D">
      <w:pPr>
        <w:spacing w:after="0" w:lineRule="auto"/>
        <w:rPr>
          <w:b w:val="1"/>
          <w:sz w:val="28"/>
          <w:szCs w:val="28"/>
        </w:rPr>
      </w:pPr>
      <w:r w:rsidDel="00000000" w:rsidR="00000000" w:rsidRPr="00000000">
        <w:rPr>
          <w:rFonts w:ascii="Times New Roman" w:cs="Times New Roman" w:eastAsia="Times New Roman" w:hAnsi="Times New Roman"/>
          <w:b w:val="1"/>
          <w:sz w:val="28"/>
          <w:szCs w:val="28"/>
          <w:rtl w:val="0"/>
        </w:rPr>
        <w:t xml:space="preserve"> у с. Селезенівка  Білоцерківського району Київської області</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Лисюк Валентині Андріївні та громадянки Мартиненко Людмилі Андріївни  вх. № 05-2023/4377 від 02.06.2023, та додані до заяви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розділу Х «Перехідні положення»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0,2500 га за адресою:           вул. Михайла Грушевського, 26, с. Селезенівка, Білоцерківський район, Київська область, що додається.</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Лисюк Валентині Андріївні 1/3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громадянці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Мартиненко Людмилі Андріївні 2/3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3224086801:01:035:0050, загальною площею  0,2500 га за адресою: вул. Михайла Грушевського, 26, с. Селезенівка, Білоцерківський район, Київська область.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Громадянці Лисюк Валентині Андріївні та громадянці Мартиненко Людмилі Андріївні,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 xml:space="preserve">                      Олександр ГОЛУБ</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архітектури</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ДОРОШЕНКО</w:t>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a9">
    <w:name w:val="List Paragraph"/>
    <w:basedOn w:val="a"/>
    <w:uiPriority w:val="34"/>
    <w:qFormat w:val="1"/>
    <w:rsid w:val="00B76D18"/>
    <w:pPr>
      <w:ind w:left="720"/>
      <w:contextualSpacing w:val="1"/>
    </w:pPr>
  </w:style>
  <w:style w:type="paragraph" w:styleId="aa">
    <w:name w:val="header"/>
    <w:basedOn w:val="a"/>
    <w:link w:val="ab"/>
    <w:uiPriority w:val="99"/>
    <w:unhideWhenUsed w:val="1"/>
    <w:rsid w:val="000E0781"/>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0E0781"/>
    <w:rPr>
      <w:lang w:eastAsia="en-US" w:val="ru-RU"/>
    </w:rPr>
  </w:style>
  <w:style w:type="paragraph" w:styleId="ac">
    <w:name w:val="footer"/>
    <w:basedOn w:val="a"/>
    <w:link w:val="ad"/>
    <w:uiPriority w:val="99"/>
    <w:unhideWhenUsed w:val="1"/>
    <w:rsid w:val="000E0781"/>
    <w:pPr>
      <w:tabs>
        <w:tab w:val="center" w:pos="4819"/>
        <w:tab w:val="right" w:pos="9639"/>
      </w:tabs>
      <w:spacing w:after="0" w:line="240" w:lineRule="auto"/>
    </w:pPr>
  </w:style>
  <w:style w:type="character" w:styleId="ad" w:customStyle="1">
    <w:name w:val="Нижний колонтитул Знак"/>
    <w:basedOn w:val="a0"/>
    <w:link w:val="ac"/>
    <w:uiPriority w:val="99"/>
    <w:rsid w:val="000E0781"/>
    <w:rPr>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33/oJbJN7rArwFp7f5K6AF/eVA==">CgMxLjAyCGguZ2pkZ3hzOAByITF1SFpPU2RzVFFNUktuWDB2Q1FfNWpkSG5NZm9UcDVhaA==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2023-06-06T06:01:00Z</dcterms:created>
  <dc:creator>Користувач</dc:creator>
</cp:coreProperties>
</file>