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4">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8633385"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w:t>
        <w:tab/>
        <w:tab/>
        <w:t xml:space="preserve">2023 року                    м. Сквира                                      №    -    -VIII</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продаж земельної ділянки сільськогосподарського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призначення з цільовим призначенням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01.02 Для ведення селянського (фермерського) господарства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загальною площею 38,1332 га на території Сквирської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міської територіальної громади </w:t>
      </w:r>
    </w:p>
    <w:p w:rsidR="00000000" w:rsidDel="00000000" w:rsidP="00000000" w:rsidRDefault="00000000" w:rsidRPr="00000000" w14:paraId="0000000F">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громадянці Титарчук Любові Володимирівні</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заяву громадянки Титарчук Любові Володимирівни</w:t>
      </w:r>
      <w:r w:rsidDel="00000000" w:rsidR="00000000" w:rsidRPr="00000000">
        <w:rPr>
          <w:rFonts w:ascii="Times New Roman" w:cs="Times New Roman" w:eastAsia="Times New Roman" w:hAnsi="Times New Roman"/>
          <w:sz w:val="24"/>
          <w:szCs w:val="24"/>
          <w:rtl w:val="0"/>
        </w:rPr>
        <w:t xml:space="preserve"> вх.№05-2023/4385 від 13.06.2023 та додані до заяви документи</w:t>
      </w:r>
      <w:r w:rsidDel="00000000" w:rsidR="00000000" w:rsidRPr="00000000">
        <w:rPr>
          <w:rFonts w:ascii="Times New Roman" w:cs="Times New Roman" w:eastAsia="Times New Roman" w:hAnsi="Times New Roman"/>
          <w:color w:val="000000"/>
          <w:sz w:val="24"/>
          <w:szCs w:val="24"/>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4"/>
          <w:szCs w:val="24"/>
          <w:rtl w:val="0"/>
        </w:rPr>
        <w:t xml:space="preserve">, відповідно до ст.ст. </w:t>
      </w:r>
      <w:r w:rsidDel="00000000" w:rsidR="00000000" w:rsidRPr="00000000">
        <w:rPr>
          <w:rFonts w:ascii="Times New Roman" w:cs="Times New Roman" w:eastAsia="Times New Roman" w:hAnsi="Times New Roman"/>
          <w:sz w:val="24"/>
          <w:szCs w:val="24"/>
          <w:rtl w:val="0"/>
        </w:rPr>
        <w:t xml:space="preserve">12, 32, 79-1,</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4"/>
          <w:szCs w:val="24"/>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4"/>
          <w:szCs w:val="24"/>
          <w:rtl w:val="0"/>
        </w:rPr>
        <w:t xml:space="preserve">, Сквирська міська рада VIIІ скликання</w:t>
      </w:r>
    </w:p>
    <w:p w:rsidR="00000000" w:rsidDel="00000000" w:rsidP="00000000" w:rsidRDefault="00000000" w:rsidRPr="00000000" w14:paraId="00000012">
      <w:pPr>
        <w:shd w:fill="ffffff" w:val="clear"/>
        <w:spacing w:after="0" w:line="240" w:lineRule="auto"/>
        <w:ind w:firstLine="708"/>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14">
      <w:pPr>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Продати громадянці Титарчук Любові Володимирівні</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земельну ділянку сільськогосподарського призначення з цільовим призначенням: 01.02 Для ведення селянського (фермерського) господарства, загальною площею 38,1332 га, кадастровий номер 3224086600:05:018:0032, яка перебуває у неї в постійному користуванні згідно Державного акту на право постійного користування землею серія ІII-КВ №025196, виданого Сквирською районною радою народних депутатів 29 грудня 2001 року та знаходиться на території Сквирської міської територіальної громади (с. Самгородок) за нормативною грошовою оцінкою, а саме 1661974 грн. 00 коп. (один мільйон шістсот шістдесят одна тисяча дев`ятсот сімдесят чотири гривні 00 копійок) згідно Витягу № НВ-9918557122023 із технічної документації з нормативної грошової оцінки земельної ділянки від 21.04.2023, без </w:t>
      </w:r>
      <w:r w:rsidDel="00000000" w:rsidR="00000000" w:rsidRPr="00000000">
        <w:rPr>
          <w:rFonts w:ascii="Times New Roman" w:cs="Times New Roman" w:eastAsia="Times New Roman" w:hAnsi="Times New Roman"/>
          <w:color w:val="000000"/>
          <w:sz w:val="24"/>
          <w:szCs w:val="24"/>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Після сплати платежу припинити дію Державного акту на право постійного користування землею серія ІII-КВ №025196, виданого Сквирською районною радою народних депутатів 29 грудня 2001 року.</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Доручити міському голові укласти договір купівлі-продажу земельної ділянки, зазначеної в п. 1 цього рішення з громадянкою Титарчук Любов`ю Володимирівною.</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Рекомендувати громадянці Титарчук Любові Володимирівні</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Рекомендувати громадянці Титарчук Любові Володимирівні</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інфрастуктури</w:t>
        <w:tab/>
        <w:tab/>
        <w:tab/>
        <w:tab/>
        <w:tab/>
        <w:tab/>
        <w:t xml:space="preserve">    Олександр ГОЛУБ</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ab/>
        <w:t xml:space="preserve">            Людмила ПАНІМАТЧЕНКО</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cs="Times New Roman" w:eastAsia="Times New Roman" w:hAnsi="Times New Roman"/>
      <w:sz w:val="24"/>
      <w:szCs w:val="24"/>
      <w:lang w:eastAsia="ru-RU"/>
    </w:rPr>
  </w:style>
  <w:style w:type="paragraph" w:styleId="20"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8">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9">
    <w:name w:val="Balloon Text"/>
    <w:basedOn w:val="a"/>
    <w:link w:val="aa"/>
    <w:uiPriority w:val="99"/>
    <w:semiHidden w:val="1"/>
    <w:unhideWhenUsed w:val="1"/>
    <w:rsid w:val="00F67947"/>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F67947"/>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7koAXnAQEC0bpqf7vos7cs21Rg==">CgMxLjAyCGguZ2pkZ3hzMgloLjMwajB6bGw4AHIhMTdwRUowYXJtYzBrTGxjY2tMLWl1VGU5TXNFbEpGU1pT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2023-06-18T19:28:00Z</dcterms:created>
  <dc:creator>User</dc:creator>
</cp:coreProperties>
</file>