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4757235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 2023 року                    м. Сквира                             № </w:t>
        <w:tab/>
        <w:t xml:space="preserve">-   -VІІІ</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виділення земельної частки (паю) в натурі (на місцевості)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Бикову Юрію Геннадійовичу для ведення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товарного сільськогосподарського виробництва із земель сільськогосподарського призначення колективної власності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колишнього КСП «Раставиця» загальною площею 3,0924 га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Бикова Юрія Геннадійовича               вх.№05-2023/4378 від 02.06.2023, технічну документацію із землеустрою щодо встановлення (відновлення) меж земельної ділянки у натурі (на місцевості) для ведення товарного сільськогосподарського виробництва,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керуючись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Розділу Х «Перехідні положення»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sz w:val="28"/>
          <w:szCs w:val="28"/>
          <w:rtl w:val="0"/>
        </w:rPr>
        <w:t xml:space="preserve">, ст.ст. 2, 3, 5, 11 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Виділити </w:t>
      </w:r>
      <w:r w:rsidDel="00000000" w:rsidR="00000000" w:rsidRPr="00000000">
        <w:rPr>
          <w:rFonts w:ascii="Times New Roman" w:cs="Times New Roman" w:eastAsia="Times New Roman" w:hAnsi="Times New Roman"/>
          <w:sz w:val="28"/>
          <w:szCs w:val="28"/>
          <w:rtl w:val="0"/>
        </w:rPr>
        <w:t xml:space="preserve">громадянину Бикову Юрію Геннадійовичу земельну частку (пай) в натурі (на місцевості) із земель сільськогосподарського призначення колективної власності колишнього КСП «Раставиця» для ведення товарного сільськогосподарського виробництва (код згідно КВЦПЗ – 01.01) згідно ухвали Сквирського районного суду Київської області справа №376/750/22 від 30.06.2022, на підставі технічної документації із землеустрою щодо встановлення (відновлення) меж земельної ділянки у натурі (на місцевості) загальною площею 3,0924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3224088200:05:002:0029, за адресою: Київська область, Білоцерківський район, Сквирська міська територіальна громада (с.Шамраївка).</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w:t>
      </w:r>
      <w:r w:rsidDel="00000000" w:rsidR="00000000" w:rsidRPr="00000000">
        <w:rPr>
          <w:rFonts w:ascii="Times New Roman" w:cs="Times New Roman" w:eastAsia="Times New Roman" w:hAnsi="Times New Roman"/>
          <w:sz w:val="28"/>
          <w:szCs w:val="28"/>
          <w:rtl w:val="0"/>
        </w:rPr>
        <w:t xml:space="preserve">Громадянину Бикову Юрію Геннадійовичу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вимог чинного законодавства України.</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Олександр ГОЛУБ</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Людмила ОСКІЛКО</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List Paragraph"/>
    <w:basedOn w:val="a"/>
    <w:uiPriority w:val="34"/>
    <w:qFormat w:val="1"/>
    <w:rsid w:val="00F163D0"/>
    <w:pPr>
      <w:spacing w:after="0" w:line="240" w:lineRule="auto"/>
      <w:ind w:left="720"/>
      <w:contextualSpacing w:val="1"/>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zWft9brBfVy6c3kaoyI9Jgwk6A==">CgMxLjAyCGguZ2pkZ3hzOAByITFDZGdIQkoxajVwR0NWdUhmaTNrX3ZRcXBBeHhrUkJ0aA==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2023-06-06T09:34:00Z</dcterms:created>
  <dc:creator>Користувач</dc:creator>
</cp:coreProperties>
</file>