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05pt;height:47.7pt" fillcolor="window" o:ole="" type="#_x0000_t75">
            <v:imagedata r:id="rId1" o:title=""/>
          </v:shape>
          <o:OLEObject DrawAspect="Content" r:id="rId2" ObjectID="_174869265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206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  меж  земельної ділянки</w:t>
      </w:r>
      <w:r w:rsidDel="00000000" w:rsidR="00000000" w:rsidRPr="00000000">
        <w:rPr>
          <w:rtl w:val="0"/>
        </w:rPr>
      </w:r>
    </w:p>
    <w:p w:rsidR="00000000" w:rsidDel="00000000" w:rsidP="00000000" w:rsidRDefault="00000000" w:rsidRPr="00000000" w14:paraId="0000000B">
      <w:pPr>
        <w:rPr>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                      комунальної  власності  у спільну часткову власність                     громадянці  Лисюк Валентині Андріївні 1/3  частки та                                            громадянці  Мартиненко Людмилі Андріївні  2/3  частки,                             для  будівництва і обслуговування  житлового будинку, господарських будівель і споруд площею 0,2500 га   по вул.  Михайла Грушевського,  26    у с. Селезенівка  Білоцерківського району Київської області</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Лисюк Валентині Андріївні та громадянки Мартиненко Людмилі Андріївни  вх. № 05-2023/4377 від 02.06.2023, та додані до заяви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розділу Х «Перехідні положення»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0,2500 га за адресою:           вул.Михайла Грушевського, 26, с. Селезенівка, Білоцерківський район, Київська область, що додається.</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громадянці Лисюк Валентині Андріївні 1/3 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та</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громадянці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Мартиненко Людмилі Андріївні 2/3 частки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3224086801:01:035:0050, загальною площею  0,2500 га за адресою: вул. Михайла Грушевського,  26,    с. Селезенівка, Білоцерківський район, Київська область. </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Громадянці Лисюк Валентині Андріївні та громадянці Мартиненко Людмилі Андріївні,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 xml:space="preserve">                                   Тетяна ВЛАСЮК</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 xml:space="preserve">                      Олександр ГОЛУБ</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архітектури</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ДОРОШЕНКО</w:t>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a9">
    <w:name w:val="List Paragraph"/>
    <w:basedOn w:val="a"/>
    <w:uiPriority w:val="34"/>
    <w:qFormat w:val="1"/>
    <w:rsid w:val="00B76D18"/>
    <w:pPr>
      <w:ind w:left="720"/>
      <w:contextualSpacing w:val="1"/>
    </w:pPr>
  </w:style>
  <w:style w:type="paragraph" w:styleId="aa">
    <w:name w:val="header"/>
    <w:basedOn w:val="a"/>
    <w:link w:val="ab"/>
    <w:uiPriority w:val="99"/>
    <w:unhideWhenUsed w:val="1"/>
    <w:rsid w:val="000E0781"/>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0E0781"/>
    <w:rPr>
      <w:lang w:eastAsia="en-US" w:val="ru-RU"/>
    </w:rPr>
  </w:style>
  <w:style w:type="paragraph" w:styleId="ac">
    <w:name w:val="footer"/>
    <w:basedOn w:val="a"/>
    <w:link w:val="ad"/>
    <w:uiPriority w:val="99"/>
    <w:unhideWhenUsed w:val="1"/>
    <w:rsid w:val="000E0781"/>
    <w:pPr>
      <w:tabs>
        <w:tab w:val="center" w:pos="4819"/>
        <w:tab w:val="right" w:pos="9639"/>
      </w:tabs>
      <w:spacing w:after="0" w:line="240" w:lineRule="auto"/>
    </w:pPr>
  </w:style>
  <w:style w:type="character" w:styleId="ad" w:customStyle="1">
    <w:name w:val="Нижний колонтитул Знак"/>
    <w:basedOn w:val="a0"/>
    <w:link w:val="ac"/>
    <w:uiPriority w:val="99"/>
    <w:rsid w:val="000E0781"/>
    <w:rPr>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2hOtzfNAJjLsgwRAdyXKtXL9lg==">CgMxLjAyCGguZ2pkZ3hzOAByITFNTlFmLWhqY1kwTllWakxMR3JjeFJycGsybTRhRzFkVA==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2023-06-06T06:01:00Z</dcterms:created>
  <dc:creator>Користувач</dc:creator>
</cp:coreProperties>
</file>