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 2023 року                   м. Сквира                             № ______</w:t>
      </w:r>
    </w:p>
    <w:tbl>
      <w:tblPr>
        <w:tblStyle w:val="Table1"/>
        <w:tblW w:w="97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20"/>
        <w:tblGridChange w:id="0">
          <w:tblGrid>
            <w:gridCol w:w="972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98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98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нежитлової будівлі, розташованої за адресою: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98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вул. Юрія Мельника, 22, с. Селезенівка,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98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174,8 кв.м (з господарськими будівлями), розташованої за адресою: вул.Юрія Мельника, 22, с.Селезенівка, Білоцерківський район, Київська область, що знаходиться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вжити заходів щодо організації та проведення приватизації нежитлової будівлі загальною площею 174,8 кв.м (з господарськими будівлями), розташованої за адресою: вул. Юрія Мельника, 22, с. Селезенівка, Білоцерківський район, Київська область.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   Олександр ГНАТЮК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  Ірина КВАША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2F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приватизацію нежитлової будівлі, розташованої за адресою: вул. Юрія Мельника, 22, с.Селезенівка, Білоцерківський район, Київська область»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надається дозвіл на приватизацію нежитлової будівлі загальною площею 2097,1 кв.м (з господарськими будівлями),  розташованої за адресою: вул. Юрія Мельника, 22, с.Селезенівка, Білоцерківський район, Київська область». Об’єкт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 в зв’язку з надходженням заяви  від потенційного покупця про намір приватизації   нежитлової будівлі, розташованої за адресою: вул. Юрія Мельника, 22, с.Селезенівка, Білоцерківський район, Київська область, що є необхідною умовою для початку процедури приватизації майна відповідно до  абз.4 п.7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розділу V «Прикінцеві та перехідні положення» Закону України «Про приватизацію державного і комунального майна».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256.574803149607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lge8RQD/TIVaq137J7GZFv6TSg==">CgMxLjAyCGguZ2pkZ3hzOAByITFtT2htVUkwNEZ2YTdSdV9oTmE0VDZiZjVUbk5kV1FwbA==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