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5103"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w:t>
      </w:r>
    </w:p>
    <w:p w:rsidR="00000000" w:rsidDel="00000000" w:rsidP="00000000" w:rsidRDefault="00000000" w:rsidRPr="00000000" w14:paraId="00000002">
      <w:pPr>
        <w:spacing w:after="0" w:lineRule="auto"/>
        <w:ind w:left="5103"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Сквирської міської ради</w:t>
      </w:r>
    </w:p>
    <w:p w:rsidR="00000000" w:rsidDel="00000000" w:rsidP="00000000" w:rsidRDefault="00000000" w:rsidRPr="00000000" w14:paraId="00000003">
      <w:pPr>
        <w:spacing w:after="0" w:lineRule="auto"/>
        <w:ind w:left="5103"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22.08.2023 № __-38-VIII</w:t>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5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організаці</w:t>
      </w:r>
      <w:r w:rsidDel="00000000" w:rsidR="00000000" w:rsidRPr="00000000">
        <w:rPr>
          <w:rFonts w:ascii="Times New Roman" w:cs="Times New Roman" w:eastAsia="Times New Roman" w:hAnsi="Times New Roman"/>
          <w:b w:val="1"/>
          <w:sz w:val="28"/>
          <w:szCs w:val="28"/>
          <w:rtl w:val="0"/>
        </w:rPr>
        <w:t xml:space="preserve">ю</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харчування </w:t>
      </w:r>
      <w:r w:rsidDel="00000000" w:rsidR="00000000" w:rsidRPr="00000000">
        <w:rPr>
          <w:rFonts w:ascii="Times New Roman" w:cs="Times New Roman" w:eastAsia="Times New Roman" w:hAnsi="Times New Roman"/>
          <w:b w:val="1"/>
          <w:sz w:val="28"/>
          <w:szCs w:val="28"/>
          <w:rtl w:val="0"/>
        </w:rPr>
        <w:t xml:space="preserve">дітей в навчальних закладах Сквирської міської територіальної громади в 2023-2024 навчальному році</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5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Фізичне здоров’я – не тільки один з головних чинників гармонійного розвитку, повноцінного життя, морального і психічного здоров’я окремої особистості, але й індикатор рівня життя народу. Саме тому, турбота про здоров’я дітей та молоді, реалізація їхніх прав на безпечне для життя середовище – одна з важливих засад державної та регіональної політики. Виховання здорової дитини є пріоритетним завданням і батьків та педагогів.    Здоров’я дітей, у першу чергу, залежить від якості їхнього харчування.</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Організація харчування вихованців у закладах освіти здійснюється згідно з чинними нормативно-правовими документами, а також відповідно до рішення виконавчого комітету Сквирської міської ради від 20 грудня 2023 року № 13/30 «Про затвердження переліку категорій дітей, що забезпечуються безоплатним харчуванням, та встановлення показників плати батьків або осіб, які їх замінюють, у закладах загальної середньої освіти, вихованців дошкільних груп навчально-виховних комплексів, закладів дошкільної освіти у 2023 році»</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підставі рішення № 13/30 від 20.12.2023 року видано наказ по відділу освіти від 02 січня 2023 року № 1/0Д «Про організацію харчування учнів закладів загальної середньої освіти, вихованців дошкільних груп навчально-виховних комплексів, закладів дошкільної освіти у 2023 році».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Безкоштовним гарячим харчуванням учнів охоплено : </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діти-сироти та діти, позбавлені батьківського піклування;</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які отримують допомогу відповідно до Закону України «Про державну соціальну допомогу малозабезпеченим сім'ям»;</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з особливими освітніми потребами, які навчаються в інклюзивних групах; </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осіб, визнаних учасниками бойових дій відповідно до пунктів 19-21 частини першої статті 6 Закону України «Про статус ветеранів війни, гарантії їх соціального захисту», які мають відповідні документи, що підтверджують їх статус (військовослужбовці, які захищали\захищають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військовослужбовців, які захищають незалежність, суверенітет та територіальну цілісність України згідно Указу Президента України «Про загальну мобілізацію» (довідка з військової частини Міністерства оборони України або довідка 1 відділу Білоцерківського районного територіального центру комплектування та соціальної підтримки);</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з числа осіб, визначених у статті 10 Закону України «Про статус ветеранів війни, гарантії їх соціального захисту» (сім’ї загиблих (померлих) Захисників і Захисниць України);</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чиї батьки є Героями Небесної Сотні, постраждалими учасниками Революції Гідності, особами з інвалідністю внаслідок війни; </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внутрішньо переміщених осіб;</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які мають статус дитини, яка постраждала внаслідок воєнних дій і збройних конфліктів (дитина, яка внаслідок воєнних дій чи збройного конфлікту отримала поранення, контузію, каліцтво, зазнала фізичного, сексуального, психологічного насильства, була викрадена або незаконно вивезена за межі України, залучалася до участі у військових формуваннях або незаконно утримувалася, у тому числі в полоні);</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які потрапили в складні життєві обставини (на підставі рішення виконкому).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Послуги з організації харчування у місті Сквира надає ФОП «Макаренко І.М.», у сільській місцевості та Сквирський НВК №5  ФОП Руденко О.А., ФОП Стогній В.В., ТОВ КИЇВХЛІБ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шкільних їдальнях Сквирської громади харчується 453 учні пільгових категорій, решта школярів - за кошти спонсорів та батьків.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Організоване гаряче харчування дітей у дошкільних групах навчально-виховних комплексів та закладах дошкільної освіти Сквирської громади.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Безкоштовним харчуванням охоплено дошкільників, а саме:</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діти-сироти та діти, позбавлені батьківського піклування;</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з інвалідністю;</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які отримують допомогу відповідно до Закону України «Про державну соціальну допомогу малозабезпеченим сім'ям»;</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України «Про Державний бюджет України» для визначення права на звільнення від плати за харчування дитини у державних і комунальних закладах дошкільної освіти;</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з особливими освітніми потребами, які навчаються в інклюзивних групах; </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працівників органів внутрішніх справ, які загинули під час виконання службових обов'язків;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осіб, визнаних учасниками бойових дій (УБД) відповідно до пунктів 19-21 частини першої статті 6 Закону України «Про статус ветеранів війни, гарантії їх соціального захисту», які мають відповідні документи, що підтверджують їх статус (військовослужбовці, які захищали\захищають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військовослужбовців, які захищають незалежність, суверенітет та територіальну цілісність України згідно Указу Президента України «Про загальну мобілізацію» (довідка з військової частини Міністерства оборони України або довідка 1 відділу Білоцерківського районного територіального центру комплектування та соціальної підтримки);</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з числа осіб, визначених у статті 10 Закону України «Про статус ветеранів війни, гарантії їх соціального захисту» (сім’ї загиблих (померлих) Захисників і Захисниць України);</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чиї батьки є Героями Небесної Сотні, постраждалими учасниками Революції Гідності, особами з інвалідністю внаслідок війни;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внутрішньо переміщених осіб;</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які мають статус дитини, яка постраждала внаслідок воєнних дій і збройних конфліктів (дитина, яка внаслідок воєнних дій чи збройного конфлікту отримала поранення, контузію, каліцтво, зазнала фізичного, сексуального, психологічного насильства, була викрадена або незаконно вивезена за межі України, залучалася до участі у військових формуваннях або незаконно утримувалася, у тому числі в полоні);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діти із сімей, які потрапили в складні життєві обставини (на підставі рішення виконкому).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Фінансування харчування у навчальних закладах здійснюється за рахунок місцевого бюджету.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Станом на 2023 рік середня вартість харчування з розрахунку на один робочий день місяця на одну дитину становить:</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закладах загальної середньої освіти сільської місцевості та Сквирського НВК № 5  для дітей віком від 6 до 11 років – до 24,00 грн., віком від 11 до 14 років – до 26,00 грн., віком від 14 до 18 років – до 28,00 грн.;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закладах загальної середньої освіти міста Сквира – за результатами тендерних торгів  (щоденне одноразове харчування) – 45,00 грн.  У розрахунок вартості послуги з організації харчування учнів не включати вартість енергоносіїв;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закладах дошкільної освіти сільської місцевості, у дошкільних групах навчально-виховних  комплексів сільської місцевості для дітей віком від 1 до 4 років – до 35,00 грн., віком від 4 до 6 років – до 40,00 грн.;</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закладах дошкільної освіти міста Сквира для дітей віком від 1 до 4 років – до 40,00 грн., віком від 4 до 6 років – до 45,00, грн.;</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дошкільних групах Сквирського академічного ліцею інформаційних технологій «Перспектива» за результатами тендерних торгів (щоденне триразове харчування) – 60,00 грн.</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рівні минулого року зберігся  розмір батьківської плати за харчування вихованців закладів дошкільної освіти, дошкільних груп навчально-виховних комплексів:</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сільській місцевості 50 % від вартості харчування в день;</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 місті Сквира 60 % від вартості харчування в день;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зменшено на 50 % розмір плати для батьків, у сім'ях яких троє і більше дітей.</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Керівниками навчальних закладів видано накази, якими затверджено списки дітей, що безкоштовно харчуються, призначено відповідальних за організацію харчування, створено бракеражні комісії, визначено обов’язки осіб, причетних до організації харчування.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Здійснюється облік дітей, які безкоштовно харчуються.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2023 році було придбано обладнання для харчоблоків Сквирського академічного ліцею № 2 та Шамраївського НВК за кошти Міжнародної благодійної організації ЮНІСЕФ на суму 146 280,00 грн, а також, за кошти місцевого бюджету було придбано пароконвектомат з комплектуючими для Сквирського ЗДО № 6 «Ромашка».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дотриманням санітарно-гігієнічних вимог на харчоблоках та в їдальнях здійснюється медичними сестрами. У закладах заведені журнали здоров'я працівників харчоблоку, журнали бракеражу готової та сирої продукції, журнал обігу продуктів, журнал обліку відходів та відповідна документація згідно чинного законодавства.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закладах наявні сезонні чотиритижневі перспективні меню, затверджені Держпродспоживслужбою. У їдальнях та в групах ДНЗ вивішено щоденні меню, графіки харчування дітей, графіки чергування в їдальні педагогічних працівників, затверджено графіки генерального прибирання приміщення харчоблоків.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Медичні сестри стежать за вчасним проходженням медичного огляду та бактеріологічного обстеження працівників. У закладах наявні медичні книжки працівників харчоблоку, є допуски до роботи.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літній період на базі Сквирського академічного ліцею № 2, Шамраївського НВК та Буківського НВК пройшли пришкільні табори, у якому прийняли участь 189 учнів.</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2023 році фахівцями Білоцерківської районної філії ДУ «Київський ОЦ КПХ МОЗ» на виконання Плану лабораторно-інструментальних досліджень були проведені лабораторні дослідження та інструментальні вимірювання. </w:t>
        <w:tab/>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567.000000000000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НАССР</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Проблема, яка завжди буде турбувати споживачів – це безпека харчових продуктів.  Одним з надійних засобів захисту споживачів харчових продуктів є система НАССР.</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 що ж таке НАССР?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НАССР - Hazard Analysis Critical Control Points – це  система, що дозволяє передбачити оцінити ризики і запобігти випуск небезпечної харчової продукції, тим самим, забезпечити споживачам гарантії безпеки продукції.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усіх закладах проведено паспортизацію всіх харчоблоків. Завершено розроблення системи постійно діючих процедур, заснованих на принципах аналізу небезпечних факторів та контролю у критичних точках (НАССР) відповідно до Методичних рекомендацій Головного управління Держпродспоживслужби України в Київській області.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Виконання цих вимог є обов'язковим через прийнятого Закону України «Про основні принципи та вимоги до безпечності та якості харчових продуктів», який 20 вересня 2015 вже вступив в дію.</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Суб'єкта господарювання, який надає послуги з організації харчування в закладах освіти, внесено у Державний реєстр потужностей операторів ринку. У наших закладах потужності зареєстровано у 2017 році.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Нові підходи до організації харчування</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сьогодні особливо гостро триває пошук шляхів вирішення проблеми якісного харчування,  запровадження нових підходів до організації здорового, раціонального та безпечного харчування учнів і вихованців закладів освіти Київщини.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окремих закладах Київської області запущено  пілотний соціально-освітній проект «Якісне харчування –здорова дитина».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Головна ідея проекту - створення в закладах освіти безпечного для життя і здоров’я дитини середовища, запровадження регіональних соціально-освітніх трансформацій у сфері харчування дітей та підлітків, підвищення професійного рівня працівників установ та підприємств, дотичних до харчування дітей та учнівської молоді; обмін кращим практичним досвідом забезпечення здобувачів освіти якісною і здоровою їжею.</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виконання постанови КМУ від 24.03.2021 року № 305 «Про затвердження норм та Порядку організації харчування у закладах освіти та дитячих закладах оздоровлення та відпочинку», доручення Київської обласної державної адміністрації (Київської обласної військової адміністрації) до листа Міністерства розвитку громад, територій та інфраструктури України від 24.04.2023 № 3127/31/14-23, відповідно до проєкту Стратегії реформування системи шкільного харчування на 2023 – 2027 роки, метою якої є забезпечення різноманітного, зблансованого і якісного харчування в закаладх освіти.</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Однією із стратегій цілей проєкту Стратегії є відновлення та модернізація харчоблоків закладів освіти, які б дозволили використовувати новітні технологічні процеси, покращити показники енергоефективності та дотримування вимог системи НАССР. З цією метою розроблено три технологічні моделі організації харчування, які можуть застосовуватись в усіх закладах освіти, оздоровлення та відпочинку:</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«базова кухня»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«опорна кухня»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«фабрика-кухня»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Вивчається питання створення «опорної кухні» на базі Сквирського академічного ліцею для харчування учнів Сквирського академічного ліцею та Сквирського академічного ліцею № 2.</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Також, для реалізації проєкту, є необхідність у:</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заміні застарілих електричних плит для приготування (Сквирський академічний ліцей «Перспектива» - рік випуску плити 1980; Дулицький НВК – 1973, 1988 р; Кривошиїнський НВК – 1969 р; Оріховецький НВК – 1986 р; Самгородоцький НВК – 1971 р);</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придбанні  індукційних плит, для зменшення використання електричної енергії у період коли кількість дітей, що харчуються, менше 50%.</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Отже, для створення безпечного та здорового освітнього середовища; забезпечення дітей високоякісною та корисною їжею,   з метою запровадження нових моделей  організації якісного харчування дітей   у 2023/2024 н.р.  необхідно звернути увагу на вирішення таких питань:</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у 2023/2024 н.р. реалізації в закладах освіти Стратегії реформування системи шкільного харчування, заходів щодо створення належних умов  для безпечного  харчування дітей;</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продовження запровадження  у закладах освіти постійно діючих процедур , заснованих на принципах системи аналізу небезпечних факторів та контролю у критичних точках (НАССР) відповідно до Методичних рекомендацій Головного управління Держпродспоживслужби у Київській області, дотримання гігієнічних вимог до харчових продуктів на всіх стадіях їх виробництва та обігу;</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оновлювлення  та вдосконалення  меню, поступово запроваджувати нові сучасні форми організації харчування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оновлення технологічного обладнання;</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проведення навчання кухарів закладів освіти;</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виконання плану впровадження нової шкільної культури харчування у шкільні їдальні, підвищувати та поширювати рівень  культури здорового харчування у навчальних закладах;</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дотримання Закону України «Про основні принципи та вимоги до безпечності та якості харчових продуктів», санітарно-гігієнічних правил і норм, не допускати у приміщеннях та на територіях закладів освіти реалізації небезпечних харчових продуктів;</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дотримування технології приготування страв, санітарно-гігієнічних вимог, зокрема правил особистої гігієни працівників харчоблоків, їдалень;</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суворе дотримання якості питної води;</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приймання до закладів безпечні та якісні продукти харчування та продовольчу сировину, маркування яких відповідає вимогам законодавства;</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вчасне усунення порушень, виявлених при моніторингових обстеженнях;</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своєчасного проходження медичних оглядів працівниками харчоблоків, їдалень, буфетів закладів освіти  відповідно до наказу Міністерства охорони здоров`я України від 23.07.2002 № 280 «Щодо організації проведення обов'язкових профілактичних оглядів працівників окремих професій, діяльність яких пов'язана з обслуговуванням населення та може привести до поширення інфекційних хвороб» та своєчасне відсторонення від роботи працівників, які виявилися носіями кишкової або стафілококової інфекції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здійснення щоденного контролю за організацією харчування дітей в закладах дошкільної та загальної середньої освіти;</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сприяння налагодженню дієвої співпраці з батьківською громадськістю з питань контролю за якістю харчування у шкільних їдальнях.</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Начальниця відділу  освіти                                                                     Світлана РИЧЕНКО</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1"/>
          <w:strike w:val="0"/>
          <w:color w:val="08090e"/>
          <w:sz w:val="24"/>
          <w:szCs w:val="24"/>
          <w:u w:val="none"/>
          <w:shd w:fill="auto" w:val="clear"/>
          <w:vertAlign w:val="baseline"/>
        </w:rPr>
      </w:pPr>
      <w:r w:rsidDel="00000000" w:rsidR="00000000" w:rsidRPr="00000000">
        <w:rPr>
          <w:rtl w:val="0"/>
        </w:rPr>
      </w:r>
    </w:p>
    <w:sectPr>
      <w:pgSz w:h="16838" w:w="11906" w:orient="portrait"/>
      <w:pgMar w:bottom="709" w:top="1134" w:left="156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ambria"/>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69" w:hanging="360"/>
      </w:pPr>
      <w:rPr>
        <w:rFonts w:ascii="Times New Roman" w:cs="Times New Roman" w:eastAsia="Times New Roman" w:hAnsi="Times New Roman"/>
      </w:rPr>
    </w:lvl>
    <w:lvl w:ilvl="1">
      <w:start w:val="1"/>
      <w:numFmt w:val="bullet"/>
      <w:lvlText w:val="o"/>
      <w:lvlJc w:val="left"/>
      <w:pPr>
        <w:ind w:left="1789" w:hanging="360"/>
      </w:pPr>
      <w:rPr>
        <w:rFonts w:ascii="Courier New" w:cs="Courier New" w:eastAsia="Courier New" w:hAnsi="Courier New"/>
      </w:rPr>
    </w:lvl>
    <w:lvl w:ilvl="2">
      <w:start w:val="1"/>
      <w:numFmt w:val="bullet"/>
      <w:lvlText w:val="▪"/>
      <w:lvlJc w:val="left"/>
      <w:pPr>
        <w:ind w:left="2509" w:hanging="360"/>
      </w:pPr>
      <w:rPr>
        <w:rFonts w:ascii="Noto Sans Symbols" w:cs="Noto Sans Symbols" w:eastAsia="Noto Sans Symbols" w:hAnsi="Noto Sans Symbols"/>
      </w:rPr>
    </w:lvl>
    <w:lvl w:ilvl="3">
      <w:start w:val="1"/>
      <w:numFmt w:val="bullet"/>
      <w:lvlText w:val="●"/>
      <w:lvlJc w:val="left"/>
      <w:pPr>
        <w:ind w:left="3229" w:hanging="360"/>
      </w:pPr>
      <w:rPr>
        <w:rFonts w:ascii="Noto Sans Symbols" w:cs="Noto Sans Symbols" w:eastAsia="Noto Sans Symbols" w:hAnsi="Noto Sans Symbols"/>
      </w:rPr>
    </w:lvl>
    <w:lvl w:ilvl="4">
      <w:start w:val="1"/>
      <w:numFmt w:val="bullet"/>
      <w:lvlText w:val="o"/>
      <w:lvlJc w:val="left"/>
      <w:pPr>
        <w:ind w:left="3949" w:hanging="360"/>
      </w:pPr>
      <w:rPr>
        <w:rFonts w:ascii="Courier New" w:cs="Courier New" w:eastAsia="Courier New" w:hAnsi="Courier New"/>
      </w:rPr>
    </w:lvl>
    <w:lvl w:ilvl="5">
      <w:start w:val="1"/>
      <w:numFmt w:val="bullet"/>
      <w:lvlText w:val="▪"/>
      <w:lvlJc w:val="left"/>
      <w:pPr>
        <w:ind w:left="4669" w:hanging="360"/>
      </w:pPr>
      <w:rPr>
        <w:rFonts w:ascii="Noto Sans Symbols" w:cs="Noto Sans Symbols" w:eastAsia="Noto Sans Symbols" w:hAnsi="Noto Sans Symbols"/>
      </w:rPr>
    </w:lvl>
    <w:lvl w:ilvl="6">
      <w:start w:val="1"/>
      <w:numFmt w:val="bullet"/>
      <w:lvlText w:val="●"/>
      <w:lvlJc w:val="left"/>
      <w:pPr>
        <w:ind w:left="5389" w:hanging="360"/>
      </w:pPr>
      <w:rPr>
        <w:rFonts w:ascii="Noto Sans Symbols" w:cs="Noto Sans Symbols" w:eastAsia="Noto Sans Symbols" w:hAnsi="Noto Sans Symbols"/>
      </w:rPr>
    </w:lvl>
    <w:lvl w:ilvl="7">
      <w:start w:val="1"/>
      <w:numFmt w:val="bullet"/>
      <w:lvlText w:val="o"/>
      <w:lvlJc w:val="left"/>
      <w:pPr>
        <w:ind w:left="6109" w:hanging="360"/>
      </w:pPr>
      <w:rPr>
        <w:rFonts w:ascii="Courier New" w:cs="Courier New" w:eastAsia="Courier New" w:hAnsi="Courier New"/>
      </w:rPr>
    </w:lvl>
    <w:lvl w:ilvl="8">
      <w:start w:val="1"/>
      <w:numFmt w:val="bullet"/>
      <w:lvlText w:val="▪"/>
      <w:lvlJc w:val="left"/>
      <w:pPr>
        <w:ind w:left="6829" w:hanging="360"/>
      </w:pPr>
      <w:rPr>
        <w:rFonts w:ascii="Noto Sans Symbols" w:cs="Noto Sans Symbols" w:eastAsia="Noto Sans Symbols" w:hAnsi="Noto Sans Symbols"/>
      </w:rPr>
    </w:lvl>
  </w:abstractNum>
  <w:abstractNum w:abstractNumId="2">
    <w:lvl w:ilvl="0">
      <w:start w:val="0"/>
      <w:numFmt w:val="bullet"/>
      <w:lvlText w:val="-"/>
      <w:lvlJc w:val="left"/>
      <w:pPr>
        <w:ind w:left="1069" w:hanging="360"/>
      </w:pPr>
      <w:rPr>
        <w:rFonts w:ascii="Times New Roman" w:cs="Times New Roman" w:eastAsia="Times New Roman" w:hAnsi="Times New Roman"/>
      </w:rPr>
    </w:lvl>
    <w:lvl w:ilvl="1">
      <w:start w:val="1"/>
      <w:numFmt w:val="bullet"/>
      <w:lvlText w:val="o"/>
      <w:lvlJc w:val="left"/>
      <w:pPr>
        <w:ind w:left="1789" w:hanging="360"/>
      </w:pPr>
      <w:rPr>
        <w:rFonts w:ascii="Courier New" w:cs="Courier New" w:eastAsia="Courier New" w:hAnsi="Courier New"/>
      </w:rPr>
    </w:lvl>
    <w:lvl w:ilvl="2">
      <w:start w:val="1"/>
      <w:numFmt w:val="bullet"/>
      <w:lvlText w:val="▪"/>
      <w:lvlJc w:val="left"/>
      <w:pPr>
        <w:ind w:left="2509" w:hanging="360"/>
      </w:pPr>
      <w:rPr>
        <w:rFonts w:ascii="Noto Sans Symbols" w:cs="Noto Sans Symbols" w:eastAsia="Noto Sans Symbols" w:hAnsi="Noto Sans Symbols"/>
      </w:rPr>
    </w:lvl>
    <w:lvl w:ilvl="3">
      <w:start w:val="1"/>
      <w:numFmt w:val="bullet"/>
      <w:lvlText w:val="●"/>
      <w:lvlJc w:val="left"/>
      <w:pPr>
        <w:ind w:left="3229" w:hanging="360"/>
      </w:pPr>
      <w:rPr>
        <w:rFonts w:ascii="Noto Sans Symbols" w:cs="Noto Sans Symbols" w:eastAsia="Noto Sans Symbols" w:hAnsi="Noto Sans Symbols"/>
      </w:rPr>
    </w:lvl>
    <w:lvl w:ilvl="4">
      <w:start w:val="1"/>
      <w:numFmt w:val="bullet"/>
      <w:lvlText w:val="o"/>
      <w:lvlJc w:val="left"/>
      <w:pPr>
        <w:ind w:left="3949" w:hanging="360"/>
      </w:pPr>
      <w:rPr>
        <w:rFonts w:ascii="Courier New" w:cs="Courier New" w:eastAsia="Courier New" w:hAnsi="Courier New"/>
      </w:rPr>
    </w:lvl>
    <w:lvl w:ilvl="5">
      <w:start w:val="1"/>
      <w:numFmt w:val="bullet"/>
      <w:lvlText w:val="▪"/>
      <w:lvlJc w:val="left"/>
      <w:pPr>
        <w:ind w:left="4669" w:hanging="360"/>
      </w:pPr>
      <w:rPr>
        <w:rFonts w:ascii="Noto Sans Symbols" w:cs="Noto Sans Symbols" w:eastAsia="Noto Sans Symbols" w:hAnsi="Noto Sans Symbols"/>
      </w:rPr>
    </w:lvl>
    <w:lvl w:ilvl="6">
      <w:start w:val="1"/>
      <w:numFmt w:val="bullet"/>
      <w:lvlText w:val="●"/>
      <w:lvlJc w:val="left"/>
      <w:pPr>
        <w:ind w:left="5389" w:hanging="360"/>
      </w:pPr>
      <w:rPr>
        <w:rFonts w:ascii="Noto Sans Symbols" w:cs="Noto Sans Symbols" w:eastAsia="Noto Sans Symbols" w:hAnsi="Noto Sans Symbols"/>
      </w:rPr>
    </w:lvl>
    <w:lvl w:ilvl="7">
      <w:start w:val="1"/>
      <w:numFmt w:val="bullet"/>
      <w:lvlText w:val="o"/>
      <w:lvlJc w:val="left"/>
      <w:pPr>
        <w:ind w:left="6109" w:hanging="360"/>
      </w:pPr>
      <w:rPr>
        <w:rFonts w:ascii="Courier New" w:cs="Courier New" w:eastAsia="Courier New" w:hAnsi="Courier New"/>
      </w:rPr>
    </w:lvl>
    <w:lvl w:ilvl="8">
      <w:start w:val="1"/>
      <w:numFmt w:val="bullet"/>
      <w:lvlText w:val="▪"/>
      <w:lvlJc w:val="left"/>
      <w:pPr>
        <w:ind w:left="6829"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8558E"/>
  </w:style>
  <w:style w:type="paragraph" w:styleId="1">
    <w:name w:val="heading 1"/>
    <w:basedOn w:val="a"/>
    <w:link w:val="10"/>
    <w:uiPriority w:val="9"/>
    <w:qFormat w:val="1"/>
    <w:rsid w:val="0088558E"/>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lang w:eastAsia="ru-RU"/>
    </w:rPr>
  </w:style>
  <w:style w:type="paragraph" w:styleId="2">
    <w:name w:val="heading 2"/>
    <w:basedOn w:val="a"/>
    <w:next w:val="a"/>
    <w:link w:val="20"/>
    <w:uiPriority w:val="9"/>
    <w:semiHidden w:val="1"/>
    <w:unhideWhenUsed w:val="1"/>
    <w:qFormat w:val="1"/>
    <w:rsid w:val="003D7E69"/>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Strong"/>
    <w:basedOn w:val="a0"/>
    <w:uiPriority w:val="22"/>
    <w:qFormat w:val="1"/>
    <w:rsid w:val="0088558E"/>
    <w:rPr>
      <w:b w:val="1"/>
      <w:bCs w:val="1"/>
    </w:rPr>
  </w:style>
  <w:style w:type="character" w:styleId="10" w:customStyle="1">
    <w:name w:val="Заголовок 1 Знак"/>
    <w:basedOn w:val="a0"/>
    <w:link w:val="1"/>
    <w:uiPriority w:val="9"/>
    <w:rsid w:val="0088558E"/>
    <w:rPr>
      <w:rFonts w:ascii="Times New Roman" w:cs="Times New Roman" w:eastAsia="Times New Roman" w:hAnsi="Times New Roman"/>
      <w:b w:val="1"/>
      <w:bCs w:val="1"/>
      <w:kern w:val="36"/>
      <w:sz w:val="48"/>
      <w:szCs w:val="48"/>
      <w:lang w:eastAsia="ru-RU"/>
    </w:rPr>
  </w:style>
  <w:style w:type="paragraph" w:styleId="a4">
    <w:name w:val="Normal (Web)"/>
    <w:basedOn w:val="a"/>
    <w:uiPriority w:val="99"/>
    <w:unhideWhenUsed w:val="1"/>
    <w:rsid w:val="0088558E"/>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5">
    <w:name w:val="Hyperlink"/>
    <w:basedOn w:val="a0"/>
    <w:uiPriority w:val="99"/>
    <w:semiHidden w:val="1"/>
    <w:unhideWhenUsed w:val="1"/>
    <w:rsid w:val="0088558E"/>
    <w:rPr>
      <w:color w:val="0000ff"/>
      <w:u w:val="single"/>
    </w:rPr>
  </w:style>
  <w:style w:type="paragraph" w:styleId="a6">
    <w:name w:val="List Paragraph"/>
    <w:basedOn w:val="a"/>
    <w:uiPriority w:val="34"/>
    <w:qFormat w:val="1"/>
    <w:rsid w:val="00FC2D1B"/>
    <w:pPr>
      <w:widowControl w:val="0"/>
      <w:autoSpaceDE w:val="0"/>
      <w:autoSpaceDN w:val="0"/>
      <w:adjustRightInd w:val="0"/>
      <w:spacing w:after="0" w:line="240" w:lineRule="auto"/>
      <w:ind w:left="720"/>
      <w:contextualSpacing w:val="1"/>
    </w:pPr>
    <w:rPr>
      <w:rFonts w:ascii="Times New Roman" w:cs="Times New Roman" w:eastAsia="Times New Roman" w:hAnsi="Times New Roman"/>
      <w:sz w:val="20"/>
      <w:szCs w:val="20"/>
      <w:lang w:eastAsia="uk-UA" w:val="uk-UA"/>
    </w:rPr>
  </w:style>
  <w:style w:type="paragraph" w:styleId="21">
    <w:name w:val="Body Text Indent 2"/>
    <w:basedOn w:val="a"/>
    <w:link w:val="22"/>
    <w:rsid w:val="00FC2D1B"/>
    <w:pPr>
      <w:spacing w:after="0" w:line="240" w:lineRule="auto"/>
      <w:ind w:firstLine="567"/>
      <w:jc w:val="both"/>
    </w:pPr>
    <w:rPr>
      <w:rFonts w:ascii="Times New Roman" w:cs="Times New Roman" w:eastAsia="Times New Roman" w:hAnsi="Times New Roman"/>
      <w:sz w:val="28"/>
      <w:szCs w:val="20"/>
      <w:lang w:eastAsia="ru-RU" w:val="uk-UA"/>
    </w:rPr>
  </w:style>
  <w:style w:type="character" w:styleId="22" w:customStyle="1">
    <w:name w:val="Основний текст з відступом 2 Знак"/>
    <w:basedOn w:val="a0"/>
    <w:link w:val="21"/>
    <w:rsid w:val="00FC2D1B"/>
    <w:rPr>
      <w:rFonts w:ascii="Times New Roman" w:cs="Times New Roman" w:eastAsia="Times New Roman" w:hAnsi="Times New Roman"/>
      <w:sz w:val="28"/>
      <w:szCs w:val="20"/>
      <w:lang w:eastAsia="ru-RU" w:val="uk-UA"/>
    </w:rPr>
  </w:style>
  <w:style w:type="paragraph" w:styleId="11" w:customStyle="1">
    <w:name w:val="Обычный1"/>
    <w:rsid w:val="00FC2D1B"/>
    <w:pPr>
      <w:widowControl w:val="0"/>
      <w:snapToGrid w:val="0"/>
      <w:spacing w:after="0" w:line="240" w:lineRule="auto"/>
    </w:pPr>
    <w:rPr>
      <w:rFonts w:ascii="Times New Roman" w:cs="Times New Roman" w:eastAsia="Times New Roman" w:hAnsi="Times New Roman"/>
      <w:b w:val="1"/>
      <w:sz w:val="20"/>
      <w:szCs w:val="20"/>
      <w:lang w:eastAsia="ru-RU"/>
    </w:rPr>
  </w:style>
  <w:style w:type="paragraph" w:styleId="rvps7" w:customStyle="1">
    <w:name w:val="rvps7"/>
    <w:basedOn w:val="a"/>
    <w:rsid w:val="00FC2D1B"/>
    <w:pPr>
      <w:spacing w:after="100" w:afterAutospacing="1" w:before="100" w:beforeAutospacing="1" w:line="240" w:lineRule="auto"/>
    </w:pPr>
    <w:rPr>
      <w:rFonts w:ascii="Times New Roman" w:cs="Times New Roman" w:eastAsia="Times New Roman" w:hAnsi="Times New Roman"/>
      <w:sz w:val="24"/>
      <w:szCs w:val="24"/>
      <w:lang w:eastAsia="uk-UA" w:val="uk-UA"/>
    </w:rPr>
  </w:style>
  <w:style w:type="character" w:styleId="rvts82" w:customStyle="1">
    <w:name w:val="rvts82"/>
    <w:basedOn w:val="a0"/>
    <w:rsid w:val="00FC2D1B"/>
  </w:style>
  <w:style w:type="table" w:styleId="a7">
    <w:name w:val="Table Grid"/>
    <w:basedOn w:val="a1"/>
    <w:rsid w:val="005B668C"/>
    <w:pPr>
      <w:spacing w:after="0" w:line="240" w:lineRule="auto"/>
    </w:pPr>
    <w:rPr>
      <w:lang w:val="uk-U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8">
    <w:name w:val="header"/>
    <w:basedOn w:val="a"/>
    <w:link w:val="a9"/>
    <w:uiPriority w:val="99"/>
    <w:semiHidden w:val="1"/>
    <w:unhideWhenUsed w:val="1"/>
    <w:rsid w:val="005B668C"/>
    <w:pPr>
      <w:tabs>
        <w:tab w:val="center" w:pos="4677"/>
        <w:tab w:val="right" w:pos="9355"/>
      </w:tabs>
      <w:spacing w:after="0" w:line="240" w:lineRule="auto"/>
    </w:pPr>
  </w:style>
  <w:style w:type="character" w:styleId="a9" w:customStyle="1">
    <w:name w:val="Верхній колонтитул Знак"/>
    <w:basedOn w:val="a0"/>
    <w:link w:val="a8"/>
    <w:uiPriority w:val="99"/>
    <w:semiHidden w:val="1"/>
    <w:rsid w:val="005B668C"/>
  </w:style>
  <w:style w:type="paragraph" w:styleId="aa">
    <w:name w:val="footer"/>
    <w:basedOn w:val="a"/>
    <w:link w:val="ab"/>
    <w:uiPriority w:val="99"/>
    <w:semiHidden w:val="1"/>
    <w:unhideWhenUsed w:val="1"/>
    <w:rsid w:val="005B668C"/>
    <w:pPr>
      <w:tabs>
        <w:tab w:val="center" w:pos="4677"/>
        <w:tab w:val="right" w:pos="9355"/>
      </w:tabs>
      <w:spacing w:after="0" w:line="240" w:lineRule="auto"/>
    </w:pPr>
  </w:style>
  <w:style w:type="character" w:styleId="ab" w:customStyle="1">
    <w:name w:val="Нижній колонтитул Знак"/>
    <w:basedOn w:val="a0"/>
    <w:link w:val="aa"/>
    <w:uiPriority w:val="99"/>
    <w:semiHidden w:val="1"/>
    <w:rsid w:val="005B668C"/>
  </w:style>
  <w:style w:type="character" w:styleId="20" w:customStyle="1">
    <w:name w:val="Заголовок 2 Знак"/>
    <w:basedOn w:val="a0"/>
    <w:link w:val="2"/>
    <w:uiPriority w:val="9"/>
    <w:semiHidden w:val="1"/>
    <w:rsid w:val="003D7E69"/>
    <w:rPr>
      <w:rFonts w:asciiTheme="majorHAnsi" w:cstheme="majorBidi" w:eastAsiaTheme="majorEastAsia" w:hAnsiTheme="majorHAnsi"/>
      <w:b w:val="1"/>
      <w:bCs w:val="1"/>
      <w:color w:val="4f81bd" w:themeColor="accent1"/>
      <w:sz w:val="26"/>
      <w:szCs w:val="26"/>
    </w:rPr>
  </w:style>
  <w:style w:type="paragraph" w:styleId="ac">
    <w:name w:val="Balloon Text"/>
    <w:basedOn w:val="a"/>
    <w:link w:val="ad"/>
    <w:uiPriority w:val="99"/>
    <w:semiHidden w:val="1"/>
    <w:unhideWhenUsed w:val="1"/>
    <w:rsid w:val="003D7E69"/>
    <w:pPr>
      <w:spacing w:after="0" w:line="240" w:lineRule="auto"/>
    </w:pPr>
    <w:rPr>
      <w:rFonts w:ascii="Tahoma" w:cs="Tahoma" w:hAnsi="Tahoma"/>
      <w:sz w:val="16"/>
      <w:szCs w:val="16"/>
    </w:rPr>
  </w:style>
  <w:style w:type="character" w:styleId="ad" w:customStyle="1">
    <w:name w:val="Текст у виносці Знак"/>
    <w:basedOn w:val="a0"/>
    <w:link w:val="ac"/>
    <w:uiPriority w:val="99"/>
    <w:semiHidden w:val="1"/>
    <w:rsid w:val="003D7E69"/>
    <w:rPr>
      <w:rFonts w:ascii="Tahoma" w:cs="Tahoma" w:hAnsi="Tahoma"/>
      <w:sz w:val="16"/>
      <w:szCs w:val="16"/>
    </w:rPr>
  </w:style>
  <w:style w:type="paragraph" w:styleId="12" w:customStyle="1">
    <w:name w:val="Абзац списка1"/>
    <w:basedOn w:val="a"/>
    <w:rsid w:val="001D119C"/>
    <w:pPr>
      <w:ind w:left="720"/>
    </w:pPr>
    <w:rPr>
      <w:rFonts w:ascii="Calibri" w:cs="Times New Roman" w:eastAsia="Times New Roman" w:hAnsi="Calibri"/>
    </w:rPr>
  </w:style>
  <w:style w:type="character" w:styleId="rvts0" w:customStyle="1">
    <w:name w:val="rvts0"/>
    <w:basedOn w:val="a0"/>
    <w:rsid w:val="008041B6"/>
  </w:style>
  <w:style w:type="paragraph" w:styleId="ae">
    <w:name w:val="No Spacing"/>
    <w:uiPriority w:val="1"/>
    <w:qFormat w:val="1"/>
    <w:rsid w:val="00390A8B"/>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S8tfpE0inpw2hIR7B74/E9cDg==">CgMxLjAyCGguZ2pkZ3hzOAByITF5RjFiLUVfT2RTWFRyaXlja3BzSE9mOVRwR1MyeExMaw==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2023-08-14T07:04:00Z</dcterms:created>
  <dc:creator>Admin</dc:creator>
</cp:coreProperties>
</file>