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Проєкт</w:t>
      </w:r>
    </w:p>
    <w:p w:rsidR="00000000" w:rsidDel="00000000" w:rsidP="00000000" w:rsidRDefault="00000000" w:rsidRPr="00000000" w14:paraId="00000002">
      <w:pPr>
        <w:spacing w:after="0" w:line="24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53600" cy="613694"/>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694"/>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spacing w:after="0" w:line="24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spacing w:after="0" w:line="24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shd w:fill="ffffff" w:val="clear"/>
        <w:spacing w:after="0" w:line="240" w:lineRule="auto"/>
        <w:ind w:right="-284"/>
        <w:jc w:val="center"/>
        <w:rPr>
          <w:rFonts w:ascii="Times New Roman" w:cs="Times New Roman" w:eastAsia="Times New Roman" w:hAnsi="Times New Roman"/>
          <w:color w:val="000000"/>
          <w:sz w:val="14"/>
          <w:szCs w:val="14"/>
        </w:rPr>
      </w:pPr>
      <w:r w:rsidDel="00000000" w:rsidR="00000000" w:rsidRPr="00000000">
        <w:rPr>
          <w:rtl w:val="0"/>
        </w:rPr>
      </w:r>
    </w:p>
    <w:p w:rsidR="00000000" w:rsidDel="00000000" w:rsidP="00000000" w:rsidRDefault="00000000" w:rsidRPr="00000000" w14:paraId="00000007">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____________ 2023 року                        м. Сквира                                    №    -38-VIII</w:t>
      </w:r>
    </w:p>
    <w:p w:rsidR="00000000" w:rsidDel="00000000" w:rsidP="00000000" w:rsidRDefault="00000000" w:rsidRPr="00000000" w14:paraId="00000008">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перейменування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 та внесення змін до Єдиного державного реєстру юридичних осіб, фізичних осіб-підприємців та громадських формувань</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Розглянувши подання начальниці відділу освіти Сквирської міської ради, відповідно до статей 2, 169, 172, 175, 176, 327 Цивільного кодексу України, статей 24, 78 Господарського кодексу України, статей 6, 10, 16, 17, пунктів 29-30 частини 1 статті 26, частини 3 статті 50, статті 60 Закону України «Про місцеве самоврядування в Україні», Прикінцевих та перехідних положень Закону України «Про освіту», статті 32 Закону України «Про повну загальну середню освіту», Закону України «Про державну реєстрацію юридичних осіб, фізичних осіб-підприємців та громадських формувань», враховуючи рішення сесії Сквирської міської ради від 28 березня 2022 року №27-31-VIII «Про пониження ступеня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 враховуючи рекомендації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color w:val="3f3f3f"/>
          <w:sz w:val="20"/>
          <w:szCs w:val="20"/>
          <w:shd w:fill="f7f6f4" w:val="clear"/>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Змінити найменування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 на Малолисовецьку початкову школу Сквирської міської ради Київської області з 01 вересня 2023 року (код ЄДРПОУ 25303552). </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Затвердити Статут Малолисовецької початкової школи Сквирської міської ради Київської області в новій редакції (додається).</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3. Внести зміни до відомостей про місцезнаходження юридичної особи Малолисовецька початкова школа Сквирської міської ради Київської області (код ЄДРПОУ 25303552), а саме змінити адресу юридичної особи з «Україна, 09011, Київська область, Сквирський район, село Малі Лисовці, вулиця Центральна, будинок 7», на «Україна, 09011, Київська область, Білоцерківський район, село Малі Лисовці, вулиця Центральна, будинок 7 А».</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Визнати, що Малолисовецька початкова школа Сквирської міської ради Київської області є правонаступником Малолисовецького навчально-виховного комплексу «заклад загальної середньої освіти І-ІІ ступенів – заклад дошкільної освіти» Сквирської міської ради Київської області.</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Доручити директору Малолисовецької початкової школи Сквирської міської ради Київської області зареєструвати відповідні зміни у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Контроль за виконанням цього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5">
      <w:pPr>
        <w:spacing w:after="0" w:line="240" w:lineRule="auto"/>
        <w:rPr>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 xml:space="preserve">         Валентина ЛЕВІЦЬКА</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sz w:val="28"/>
          <w:szCs w:val="28"/>
          <w:rtl w:val="0"/>
        </w:rPr>
        <w:t xml:space="preserve">ПОГОДЖЕНО:</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Валентина БАЧИНСЬКА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23">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уповноважений з питань </w:t>
      </w:r>
    </w:p>
    <w:p w:rsidR="00000000" w:rsidDel="00000000" w:rsidP="00000000" w:rsidRDefault="00000000" w:rsidRPr="00000000" w14:paraId="00000024">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Віктор САЛТАНЮК</w:t>
      </w:r>
    </w:p>
    <w:p w:rsidR="00000000" w:rsidDel="00000000" w:rsidP="00000000" w:rsidRDefault="00000000" w:rsidRPr="00000000" w14:paraId="0000002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8">
      <w:pPr>
        <w:tabs>
          <w:tab w:val="left" w:leader="none" w:pos="6030"/>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освіти                                  Світлана РИЧЕНКО</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 </w:t>
      </w:r>
    </w:p>
    <w:p w:rsidR="00000000" w:rsidDel="00000000" w:rsidP="00000000" w:rsidRDefault="00000000" w:rsidRPr="00000000" w14:paraId="0000002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 </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соціального захисту, освіти,</w:t>
      </w:r>
    </w:p>
    <w:p w:rsidR="00000000" w:rsidDel="00000000" w:rsidP="00000000" w:rsidRDefault="00000000" w:rsidRPr="00000000" w14:paraId="0000002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охорони здоров’я культури та релігії                 Катерина БОНДАРЧУК</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0" w:line="240" w:lineRule="auto"/>
        <w:rPr/>
      </w:pPr>
      <w:r w:rsidDel="00000000" w:rsidR="00000000" w:rsidRPr="00000000">
        <w:rPr>
          <w:rtl w:val="0"/>
        </w:rPr>
      </w:r>
    </w:p>
    <w:sectPr>
      <w:pgSz w:h="15840" w:w="12240" w:orient="portrait"/>
      <w:pgMar w:bottom="529.84251968504" w:top="567" w:left="1701" w:right="623.740157480316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A0908"/>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1A0908"/>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1A0908"/>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1A0908"/>
    <w:pPr>
      <w:spacing w:after="120"/>
    </w:pPr>
  </w:style>
  <w:style w:type="character" w:styleId="a5" w:customStyle="1">
    <w:name w:val="Основний текст Знак"/>
    <w:basedOn w:val="a0"/>
    <w:link w:val="a3"/>
    <w:uiPriority w:val="99"/>
    <w:semiHidden w:val="1"/>
    <w:rsid w:val="001A0908"/>
    <w:rPr>
      <w:lang w:val="en-US"/>
    </w:rPr>
  </w:style>
  <w:style w:type="paragraph" w:styleId="a6">
    <w:name w:val="Balloon Text"/>
    <w:basedOn w:val="a"/>
    <w:link w:val="a7"/>
    <w:uiPriority w:val="99"/>
    <w:semiHidden w:val="1"/>
    <w:unhideWhenUsed w:val="1"/>
    <w:rsid w:val="007A1E48"/>
    <w:pPr>
      <w:spacing w:after="0" w:line="240" w:lineRule="auto"/>
    </w:pPr>
    <w:rPr>
      <w:rFonts w:ascii="Segoe UI" w:cs="Segoe UI" w:hAnsi="Segoe UI"/>
      <w:sz w:val="18"/>
      <w:szCs w:val="18"/>
    </w:rPr>
  </w:style>
  <w:style w:type="character" w:styleId="a7" w:customStyle="1">
    <w:name w:val="Текст у виносці Знак"/>
    <w:basedOn w:val="a0"/>
    <w:link w:val="a6"/>
    <w:uiPriority w:val="99"/>
    <w:semiHidden w:val="1"/>
    <w:rsid w:val="007A1E48"/>
    <w:rPr>
      <w:rFonts w:ascii="Segoe UI" w:cs="Segoe UI" w:hAnsi="Segoe UI"/>
      <w:sz w:val="18"/>
      <w:szCs w:val="18"/>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01GL5IafrPIhXtQHdUKMG+wtKg==">CgMxLjAyCGguZ2pkZ3hzOAByITFFanF2VjhmWVdZMTN4dGM1dE1GeldhLW1NRGNyMEhteQ==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2023-07-04T11:02:00Z</dcterms:created>
  <dc:creator>Admin</dc:creator>
</cp:coreProperties>
</file>