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5288598"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1F2642">
        <w:rPr>
          <w:b/>
          <w:sz w:val="28"/>
          <w:szCs w:val="28"/>
        </w:rPr>
        <w:t>2,4952 га по вул. Кобзаря</w:t>
      </w:r>
      <w:r w:rsidR="00700A6C">
        <w:rPr>
          <w:b/>
          <w:sz w:val="28"/>
          <w:szCs w:val="28"/>
        </w:rPr>
        <w:t>,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E0668C">
        <w:rPr>
          <w:color w:val="000000"/>
          <w:sz w:val="28"/>
          <w:szCs w:val="28"/>
        </w:rPr>
        <w:t>2,4952</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3F41B8">
        <w:rPr>
          <w:color w:val="000000"/>
          <w:sz w:val="28"/>
          <w:szCs w:val="28"/>
        </w:rPr>
        <w:t>1</w:t>
      </w:r>
      <w:r>
        <w:rPr>
          <w:color w:val="000000"/>
          <w:sz w:val="28"/>
          <w:szCs w:val="28"/>
        </w:rPr>
        <w:t>:0</w:t>
      </w:r>
      <w:r w:rsidR="003F41B8">
        <w:rPr>
          <w:color w:val="000000"/>
          <w:sz w:val="28"/>
          <w:szCs w:val="28"/>
        </w:rPr>
        <w:t>67</w:t>
      </w:r>
      <w:r w:rsidR="00EB3AC6">
        <w:rPr>
          <w:color w:val="000000"/>
          <w:sz w:val="28"/>
          <w:szCs w:val="28"/>
        </w:rPr>
        <w:t>:0</w:t>
      </w:r>
      <w:r w:rsidR="003F41B8">
        <w:rPr>
          <w:color w:val="000000"/>
          <w:sz w:val="28"/>
          <w:szCs w:val="28"/>
        </w:rPr>
        <w:t>133</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B04BAB">
        <w:rPr>
          <w:color w:val="000000"/>
          <w:sz w:val="28"/>
          <w:szCs w:val="28"/>
        </w:rPr>
        <w:t>вул.</w:t>
      </w:r>
      <w:r w:rsidR="003F41B8">
        <w:rPr>
          <w:color w:val="000000"/>
          <w:sz w:val="28"/>
          <w:szCs w:val="28"/>
        </w:rPr>
        <w:t xml:space="preserve"> Кобзаря</w:t>
      </w:r>
      <w:bookmarkStart w:id="2" w:name="_GoBack"/>
      <w:bookmarkEnd w:id="2"/>
      <w:r w:rsidR="00572F7B">
        <w:rPr>
          <w:color w:val="000000"/>
          <w:sz w:val="28"/>
          <w:szCs w:val="28"/>
        </w:rPr>
        <w:t>, б/н, м. Сквира</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33CBF"/>
    <w:rsid w:val="00170127"/>
    <w:rsid w:val="001E20BA"/>
    <w:rsid w:val="001E4865"/>
    <w:rsid w:val="001F2642"/>
    <w:rsid w:val="00227FDC"/>
    <w:rsid w:val="00317223"/>
    <w:rsid w:val="00395202"/>
    <w:rsid w:val="003A75C1"/>
    <w:rsid w:val="003B0E13"/>
    <w:rsid w:val="003E60E6"/>
    <w:rsid w:val="003F41B8"/>
    <w:rsid w:val="00491D6A"/>
    <w:rsid w:val="004B0963"/>
    <w:rsid w:val="004B1686"/>
    <w:rsid w:val="00533235"/>
    <w:rsid w:val="005636BD"/>
    <w:rsid w:val="00572F7B"/>
    <w:rsid w:val="006D76F1"/>
    <w:rsid w:val="00700A6C"/>
    <w:rsid w:val="00705780"/>
    <w:rsid w:val="00742CB5"/>
    <w:rsid w:val="008478AE"/>
    <w:rsid w:val="00860EE6"/>
    <w:rsid w:val="008C095C"/>
    <w:rsid w:val="00936602"/>
    <w:rsid w:val="00995B07"/>
    <w:rsid w:val="009A49E5"/>
    <w:rsid w:val="009B6B20"/>
    <w:rsid w:val="00A06855"/>
    <w:rsid w:val="00A131A5"/>
    <w:rsid w:val="00AD28E0"/>
    <w:rsid w:val="00B04BAB"/>
    <w:rsid w:val="00D725B1"/>
    <w:rsid w:val="00D958B8"/>
    <w:rsid w:val="00E0668C"/>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CAF67"/>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2068</Words>
  <Characters>1180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2023-08-07T19:04:00Z</cp:lastPrinted>
  <dcterms:created xsi:type="dcterms:W3CDTF">2023-09-03T20:24:00Z</dcterms:created>
  <dcterms:modified xsi:type="dcterms:W3CDTF">2023-09-03T20:24:00Z</dcterms:modified>
</cp:coreProperties>
</file>